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before="0" w:after="0"/>
        <w:ind w:right="0" w:hanging="0"/>
        <w:rPr>
          <w:rFonts w:ascii="Calibri" w:hAnsi="Calibri" w:eastAsia="Calibri" w:cs="Calibri"/>
          <w:color w:val="1F4E79"/>
          <w:sz w:val="36"/>
          <w:szCs w:val="36"/>
          <w:lang w:val="it-IT"/>
        </w:rPr>
      </w:pPr>
      <w:r>
        <w:rPr>
          <w:rFonts w:eastAsia="Calibri" w:cs="Calibri" w:ascii="Calibri" w:hAnsi="Calibri"/>
          <w:color w:val="1F4E79"/>
          <w:sz w:val="36"/>
          <w:szCs w:val="36"/>
          <w:lang w:val="it-IT"/>
        </w:rPr>
        <w:t> </w:t>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t xml:space="preserve">La campagna Safe2Eat promossa dall’EFSA in collaborazione con il </w:t>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t>Ministero della Salute prende il via per il quinto anno</w:t>
      </w:r>
    </w:p>
    <w:p>
      <w:pPr>
        <w:pStyle w:val="Normal"/>
        <w:pBdr/>
        <w:spacing w:before="0" w:after="0"/>
        <w:ind w:right="0" w:hanging="0"/>
        <w:rPr>
          <w:rFonts w:ascii="Calibri" w:hAnsi="Calibri" w:eastAsia="Calibri" w:cs="Calibri"/>
          <w:b/>
          <w:b/>
          <w:color w:val="1F4E79"/>
          <w:sz w:val="32"/>
          <w:szCs w:val="32"/>
          <w:lang w:val="it-IT"/>
        </w:rPr>
      </w:pPr>
      <w:r>
        <w:rPr>
          <w:rFonts w:eastAsia="Calibri" w:cs="Calibri" w:ascii="Calibri" w:hAnsi="Calibri"/>
          <w:b/>
          <w:color w:val="1F4E79"/>
          <w:sz w:val="32"/>
          <w:szCs w:val="32"/>
          <w:lang w:val="it-IT"/>
        </w:rPr>
      </w:r>
    </w:p>
    <w:p>
      <w:pPr>
        <w:pStyle w:val="Normal"/>
        <w:numPr>
          <w:ilvl w:val="0"/>
          <w:numId w:val="3"/>
        </w:numPr>
        <w:pBdr/>
        <w:spacing w:before="0" w:after="0"/>
        <w:ind w:left="720" w:right="0" w:hanging="3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Focus della campagna 2025: i focolai a trasmissione alimentare attribuibili ad alimenti di origine non animale, ovvero vegetale. Come prevenire i rischi alimentari?</w:t>
      </w:r>
    </w:p>
    <w:p>
      <w:pPr>
        <w:pStyle w:val="Normal"/>
        <w:numPr>
          <w:ilvl w:val="0"/>
          <w:numId w:val="1"/>
        </w:numPr>
        <w:pBdr/>
        <w:spacing w:before="0" w:after="0"/>
        <w:ind w:left="720" w:right="0" w:hanging="3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Nel 2024 la campagna ha coinvolto oltre 50 milioni di europei</w:t>
      </w:r>
    </w:p>
    <w:p>
      <w:pPr>
        <w:pStyle w:val="Normal"/>
        <w:numPr>
          <w:ilvl w:val="0"/>
          <w:numId w:val="1"/>
        </w:numPr>
        <w:pBdr/>
        <w:spacing w:before="0" w:after="0"/>
        <w:ind w:left="720" w:right="0" w:hanging="3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La nuova edizione estesa a 23 paesi, 4 in più dello scorso anno</w:t>
      </w:r>
    </w:p>
    <w:p>
      <w:pPr>
        <w:pStyle w:val="Normal"/>
        <w:pBdr/>
        <w:spacing w:before="0" w:after="0"/>
        <w:ind w:right="0" w:hanging="0"/>
        <w:rPr>
          <w:rFonts w:ascii="Calibri" w:hAnsi="Calibri" w:eastAsia="Calibri" w:cs="Calibri"/>
          <w:b/>
          <w:b/>
          <w:sz w:val="22"/>
          <w:szCs w:val="22"/>
          <w:lang w:val="it-IT"/>
        </w:rPr>
      </w:pPr>
      <w:r>
        <w:rPr>
          <w:rFonts w:eastAsia="Calibri" w:cs="Calibri" w:ascii="Calibri" w:hAnsi="Calibri"/>
          <w:b/>
          <w:sz w:val="22"/>
          <w:szCs w:val="22"/>
          <w:lang w:val="it-IT"/>
        </w:rPr>
      </w:r>
    </w:p>
    <w:p>
      <w:pPr>
        <w:pStyle w:val="Normal"/>
        <w:pBdr/>
        <w:spacing w:before="0" w:after="0"/>
        <w:ind w:right="0" w:hanging="0"/>
        <w:rPr>
          <w:rFonts w:ascii="Calibri" w:hAnsi="Calibri" w:eastAsia="Calibri" w:cs="Calibri"/>
          <w:sz w:val="24"/>
          <w:szCs w:val="24"/>
          <w:lang w:val="it-IT"/>
        </w:rPr>
      </w:pPr>
      <w:r>
        <w:rPr>
          <w:rFonts w:eastAsia="Calibri" w:cs="Calibri" w:ascii="Calibri" w:hAnsi="Calibri"/>
          <w:b/>
          <w:sz w:val="24"/>
          <w:szCs w:val="24"/>
          <w:lang w:val="it-IT"/>
        </w:rPr>
        <w:t>Parma,</w:t>
      </w:r>
      <w:r>
        <w:rPr>
          <w:rFonts w:eastAsia="Calibri" w:cs="Calibri" w:ascii="Calibri" w:hAnsi="Calibri"/>
          <w:sz w:val="24"/>
          <w:szCs w:val="24"/>
          <w:lang w:val="it-IT"/>
        </w:rPr>
        <w:t xml:space="preserve"> </w:t>
      </w:r>
      <w:r>
        <w:rPr>
          <w:rFonts w:eastAsia="Calibri" w:cs="Calibri" w:ascii="Calibri" w:hAnsi="Calibri"/>
          <w:b/>
          <w:sz w:val="24"/>
          <w:szCs w:val="24"/>
          <w:lang w:val="it-IT"/>
        </w:rPr>
        <w:t>10 aprile 2025</w:t>
      </w:r>
      <w:r>
        <w:rPr>
          <w:rFonts w:eastAsia="Calibri" w:cs="Calibri" w:ascii="Calibri" w:hAnsi="Calibri"/>
          <w:sz w:val="24"/>
          <w:szCs w:val="24"/>
          <w:lang w:val="it-IT"/>
        </w:rPr>
        <w:t xml:space="preserve"> - Sulla scia del successo ottenuto nei quattro anni precedenti, l’</w:t>
      </w:r>
      <w:r>
        <w:rPr>
          <w:rFonts w:eastAsia="Calibri" w:cs="Calibri" w:ascii="Calibri" w:hAnsi="Calibri"/>
          <w:b/>
          <w:sz w:val="24"/>
          <w:szCs w:val="24"/>
          <w:lang w:val="it-IT"/>
        </w:rPr>
        <w:t xml:space="preserve">Autorità europea per la sicurezza alimentare (EFSA) </w:t>
      </w:r>
      <w:r>
        <w:rPr>
          <w:rFonts w:eastAsia="Calibri" w:cs="Calibri" w:ascii="Calibri" w:hAnsi="Calibri"/>
          <w:sz w:val="24"/>
          <w:szCs w:val="24"/>
          <w:lang w:val="it-IT"/>
        </w:rPr>
        <w:t xml:space="preserve">e il </w:t>
      </w:r>
      <w:r>
        <w:rPr>
          <w:rFonts w:eastAsia="Calibri" w:cs="Calibri" w:ascii="Calibri" w:hAnsi="Calibri"/>
          <w:b/>
          <w:sz w:val="24"/>
          <w:szCs w:val="24"/>
          <w:lang w:val="it-IT"/>
        </w:rPr>
        <w:t>Ministero della Salute</w:t>
      </w:r>
      <w:r>
        <w:rPr>
          <w:rFonts w:eastAsia="Calibri" w:cs="Calibri" w:ascii="Calibri" w:hAnsi="Calibri"/>
          <w:sz w:val="24"/>
          <w:szCs w:val="24"/>
          <w:lang w:val="it-IT"/>
        </w:rPr>
        <w:t xml:space="preserve"> lanciano la campagna di comunicazione </w:t>
      </w:r>
      <w:r>
        <w:rPr>
          <w:rFonts w:eastAsia="Calibri" w:cs="Calibri" w:ascii="Calibri" w:hAnsi="Calibri"/>
          <w:b/>
          <w:sz w:val="24"/>
          <w:szCs w:val="24"/>
          <w:lang w:val="it-IT"/>
        </w:rPr>
        <w:t>Safe2Eat</w:t>
      </w:r>
      <w:r>
        <w:rPr>
          <w:rFonts w:eastAsia="Calibri" w:cs="Calibri" w:ascii="Calibri" w:hAnsi="Calibri"/>
          <w:sz w:val="24"/>
          <w:szCs w:val="24"/>
          <w:lang w:val="it-IT"/>
        </w:rPr>
        <w:t xml:space="preserve"> con l’</w:t>
      </w:r>
      <w:r>
        <w:rPr>
          <w:rFonts w:eastAsia="Calibri" w:cs="Calibri" w:ascii="Calibri" w:hAnsi="Calibri"/>
          <w:b/>
          <w:sz w:val="24"/>
          <w:szCs w:val="24"/>
          <w:lang w:val="it-IT"/>
        </w:rPr>
        <w:t>obiettivo</w:t>
      </w:r>
      <w:r>
        <w:rPr>
          <w:rFonts w:eastAsia="Calibri" w:cs="Calibri" w:ascii="Calibri" w:hAnsi="Calibri"/>
          <w:sz w:val="24"/>
          <w:szCs w:val="24"/>
          <w:lang w:val="it-IT"/>
        </w:rPr>
        <w:t xml:space="preserve"> di far crescere la fiducia dei consumatori nella sicurezza alimentare nell’ambito dell’UE, informando e </w:t>
      </w:r>
      <w:r>
        <w:rPr>
          <w:rFonts w:eastAsia="Calibri" w:cs="Calibri" w:ascii="Calibri" w:hAnsi="Calibri"/>
          <w:b/>
          <w:sz w:val="24"/>
          <w:szCs w:val="24"/>
          <w:lang w:val="it-IT"/>
        </w:rPr>
        <w:t xml:space="preserve">sensibilizzando i cittadini italiani, </w:t>
      </w:r>
      <w:r>
        <w:rPr>
          <w:rFonts w:eastAsia="Calibri" w:cs="Calibri" w:ascii="Calibri" w:hAnsi="Calibri"/>
          <w:sz w:val="24"/>
          <w:szCs w:val="24"/>
          <w:lang w:val="it-IT"/>
        </w:rPr>
        <w:t xml:space="preserve"> per promuovere la capacità di prendere decisioni informate relative alle scelte alimentari di ogni giorno aumentando la consapevolezza su ciò che avviene nelle fasi di preparazione e conservazione dei cibi e al tempo stesso evidenziando</w:t>
      </w:r>
      <w:r>
        <w:rPr>
          <w:rFonts w:eastAsia="Calibri" w:cs="Calibri" w:ascii="Calibri" w:hAnsi="Calibri"/>
          <w:b/>
          <w:sz w:val="24"/>
          <w:szCs w:val="24"/>
          <w:lang w:val="it-IT"/>
        </w:rPr>
        <w:t xml:space="preserve"> il ruolo fondamentale della scienza</w:t>
      </w:r>
      <w:r>
        <w:rPr>
          <w:rFonts w:eastAsia="Calibri" w:cs="Calibri" w:ascii="Calibri" w:hAnsi="Calibri"/>
          <w:sz w:val="24"/>
          <w:szCs w:val="24"/>
          <w:lang w:val="it-IT"/>
        </w:rPr>
        <w:t xml:space="preserve"> e delle direttive formulate dagli </w:t>
      </w:r>
      <w:r>
        <w:rPr>
          <w:rFonts w:eastAsia="Calibri" w:cs="Calibri" w:ascii="Calibri" w:hAnsi="Calibri"/>
          <w:b/>
          <w:sz w:val="24"/>
          <w:szCs w:val="24"/>
          <w:lang w:val="it-IT"/>
        </w:rPr>
        <w:t>esperti dell’EFSA</w:t>
      </w:r>
      <w:r>
        <w:rPr>
          <w:rFonts w:eastAsia="Calibri" w:cs="Calibri" w:ascii="Calibri" w:hAnsi="Calibri"/>
          <w:sz w:val="24"/>
          <w:szCs w:val="24"/>
          <w:lang w:val="it-IT"/>
        </w:rPr>
        <w:t>, grazie alle quali il cibo sulle nostre tavole è controllato e sicuro.</w:t>
      </w:r>
    </w:p>
    <w:p>
      <w:pPr>
        <w:pStyle w:val="Normal"/>
        <w:pBdr/>
        <w:spacing w:before="0" w:after="0"/>
        <w:ind w:right="0" w:hanging="0"/>
        <w:rPr>
          <w:rFonts w:ascii="Calibri" w:hAnsi="Calibri" w:eastAsia="Calibri" w:cs="Calibri"/>
          <w:sz w:val="24"/>
          <w:szCs w:val="24"/>
          <w:lang w:val="it-IT"/>
        </w:rPr>
      </w:pPr>
      <w:r>
        <w:rPr>
          <w:rFonts w:eastAsia="Calibri" w:cs="Calibri" w:ascii="Calibri" w:hAnsi="Calibri"/>
          <w:sz w:val="24"/>
          <w:szCs w:val="24"/>
          <w:lang w:val="it-IT"/>
        </w:rPr>
      </w:r>
    </w:p>
    <w:p>
      <w:pPr>
        <w:pStyle w:val="Normal"/>
        <w:pBdr/>
        <w:spacing w:before="0" w:after="0"/>
        <w:ind w:right="0" w:hanging="0"/>
        <w:rPr>
          <w:rFonts w:ascii="Calibri" w:hAnsi="Calibri" w:eastAsia="Calibri" w:cs="Calibri"/>
          <w:sz w:val="24"/>
          <w:szCs w:val="24"/>
          <w:lang w:val="it-IT"/>
        </w:rPr>
      </w:pPr>
      <w:r>
        <w:rPr>
          <w:rFonts w:eastAsia="Calibri" w:cs="Calibri" w:ascii="Calibri" w:hAnsi="Calibri"/>
          <w:sz w:val="24"/>
          <w:szCs w:val="24"/>
          <w:lang w:val="it-IT"/>
        </w:rPr>
        <w:t xml:space="preserve">La campagna è caratterizzata da un raggio d’azione di ampio respiro e intende fornire ai consumatori informazioni chiare e basate sulla scienza della sicurezza alimentare. Quest’anno la campagna si estende a </w:t>
      </w:r>
      <w:r>
        <w:rPr>
          <w:rFonts w:eastAsia="Calibri" w:cs="Calibri" w:ascii="Calibri" w:hAnsi="Calibri"/>
          <w:b/>
          <w:sz w:val="24"/>
          <w:szCs w:val="24"/>
          <w:lang w:val="it-IT"/>
        </w:rPr>
        <w:t>23 paesi</w:t>
      </w:r>
      <w:r>
        <w:rPr>
          <w:rFonts w:eastAsia="Calibri" w:cs="Calibri" w:ascii="Calibri" w:hAnsi="Calibri"/>
          <w:sz w:val="24"/>
          <w:szCs w:val="24"/>
          <w:lang w:val="it-IT"/>
        </w:rPr>
        <w:t>, attestando un incremento rispetto ai 18 del 2024 e raggiungendo un importante traguardo nella sua missione di aiutare un numero sempre maggiore di europei a scegliere con sicurezza i prodotti alimentari.  </w:t>
      </w:r>
    </w:p>
    <w:p>
      <w:pPr>
        <w:pStyle w:val="Normal"/>
        <w:pBdr/>
        <w:spacing w:before="0" w:after="0"/>
        <w:ind w:right="0" w:hanging="0"/>
        <w:rPr>
          <w:rFonts w:ascii="Calibri" w:hAnsi="Calibri" w:eastAsia="Calibri" w:cs="Calibri"/>
          <w:color w:val="000000"/>
          <w:sz w:val="24"/>
          <w:szCs w:val="24"/>
          <w:lang w:val="it-IT"/>
        </w:rPr>
      </w:pPr>
      <w:r>
        <w:rPr>
          <w:rFonts w:eastAsia="Calibri" w:cs="Calibri" w:ascii="Calibri" w:hAnsi="Calibri"/>
          <w:color w:val="000000"/>
          <w:sz w:val="24"/>
          <w:szCs w:val="24"/>
          <w:lang w:val="it-IT"/>
        </w:rPr>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Tra i paesi partecipanti dell’edizione 2025 figurano Albania, Austria, Belgio, Bosnia-Erzegovina, Cechia, Cipro, Croazia, Estonia, Finlandia, Grecia, Irlanda, Italia, Lettonia, Lussemburgo, Macedonia del Nord, Montenegro, Norvegia, Polonia, Romania, Slovacchia, Spagna, Turchia e Ungheria.  </w:t>
      </w:r>
    </w:p>
    <w:p>
      <w:pPr>
        <w:pStyle w:val="Normal"/>
        <w:spacing w:before="0" w:after="0"/>
        <w:rPr>
          <w:rFonts w:ascii="Calibri" w:hAnsi="Calibri" w:eastAsia="Calibri" w:cs="Calibri"/>
          <w:b/>
          <w:b/>
          <w:sz w:val="24"/>
          <w:szCs w:val="24"/>
          <w:lang w:val="it-IT"/>
        </w:rPr>
      </w:pPr>
      <w:r>
        <w:rPr>
          <w:rFonts w:eastAsia="Calibri" w:cs="Calibri" w:ascii="Calibri" w:hAnsi="Calibri"/>
          <w:sz w:val="24"/>
          <w:szCs w:val="24"/>
          <w:lang w:val="it-IT"/>
        </w:rPr>
        <w:t>Quest’anno la campagna in Italia si concentra sui</w:t>
      </w:r>
      <w:r>
        <w:rPr>
          <w:rFonts w:eastAsia="Calibri" w:cs="Calibri" w:ascii="Calibri" w:hAnsi="Calibri"/>
          <w:b/>
          <w:sz w:val="24"/>
          <w:szCs w:val="24"/>
          <w:lang w:val="it-IT"/>
        </w:rPr>
        <w:t xml:space="preserve"> focolai di malattie a trasmissione alimentare attribuibili ad alimenti di origine non animale, ovvero vegetale, meglio conosciuti come ANOA, e sugli additivi.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r>
    </w:p>
    <w:p>
      <w:pPr>
        <w:pStyle w:val="Normal"/>
        <w:spacing w:before="0" w:after="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 xml:space="preserve">ANOA – Focolai di malattie a trasmissione alimentare attribuibili ad alimenti di origine non animale, ovvero vegetale </w:t>
      </w:r>
    </w:p>
    <w:p>
      <w:pPr>
        <w:pStyle w:val="Normal"/>
        <w:spacing w:before="0" w:after="0"/>
        <w:rPr>
          <w:rFonts w:ascii="Calibri" w:hAnsi="Calibri" w:eastAsia="Calibri" w:cs="Calibri"/>
          <w:b/>
          <w:b/>
          <w:sz w:val="24"/>
          <w:szCs w:val="24"/>
          <w:lang w:val="it-IT"/>
        </w:rPr>
      </w:pPr>
      <w:r>
        <w:rPr>
          <w:rFonts w:eastAsia="Calibri" w:cs="Calibri" w:ascii="Calibri" w:hAnsi="Calibri"/>
          <w:b/>
          <w:sz w:val="24"/>
          <w:szCs w:val="24"/>
          <w:lang w:val="it-IT"/>
        </w:rPr>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Tra gli alimenti di origine non animale, quelli che pongono i rischi maggiori nell’UE sono</w:t>
      </w:r>
      <w:r>
        <w:rPr>
          <w:rFonts w:eastAsia="Calibri" w:cs="Calibri" w:ascii="Calibri" w:hAnsi="Calibri"/>
          <w:b/>
          <w:sz w:val="24"/>
          <w:szCs w:val="24"/>
          <w:lang w:val="it-IT"/>
        </w:rPr>
        <w:t xml:space="preserve"> verdure a foglia verde, ortaggi a bulbo e a stelo, pomodori, meloni, baccelli, legumi o cereali freschi, semi germogliati e frutti di bosco</w:t>
      </w:r>
      <w:r>
        <w:rPr>
          <w:rFonts w:eastAsia="Calibri" w:cs="Calibri" w:ascii="Calibri" w:hAnsi="Calibri"/>
          <w:sz w:val="24"/>
          <w:szCs w:val="24"/>
          <w:lang w:val="it-IT"/>
        </w:rPr>
        <w:t xml:space="preserve">. </w:t>
      </w:r>
    </w:p>
    <w:p>
      <w:pPr>
        <w:pStyle w:val="Normal"/>
        <w:spacing w:before="0" w:after="0"/>
        <w:rPr>
          <w:rFonts w:ascii="Calibri" w:hAnsi="Calibri" w:eastAsia="Calibri" w:cs="Calibri"/>
          <w:color w:val="FF0000"/>
          <w:sz w:val="24"/>
          <w:szCs w:val="24"/>
          <w:lang w:val="it-IT"/>
        </w:rPr>
      </w:pPr>
      <w:r>
        <w:rPr>
          <w:rFonts w:eastAsia="Calibri" w:cs="Calibri" w:ascii="Calibri" w:hAnsi="Calibri"/>
          <w:sz w:val="24"/>
          <w:szCs w:val="24"/>
          <w:lang w:val="it-IT"/>
        </w:rPr>
        <w:t>Questi alimenti possono essere consumati in svariati modi, da crudi ad altamente trasformati. In taluni casi, però, il loro consumo può causare malattie gravi, anche con esito fatale.</w:t>
      </w:r>
      <w:r>
        <w:rPr>
          <w:rFonts w:eastAsia="Calibri" w:cs="Calibri" w:ascii="Calibri" w:hAnsi="Calibri"/>
          <w:color w:val="FF0000"/>
          <w:sz w:val="24"/>
          <w:szCs w:val="24"/>
          <w:lang w:val="it-IT"/>
        </w:rPr>
        <w:t xml:space="preserve"> </w:t>
      </w:r>
    </w:p>
    <w:p>
      <w:pPr>
        <w:pStyle w:val="Normal"/>
        <w:spacing w:before="0" w:after="0"/>
        <w:rPr>
          <w:rFonts w:ascii="Calibri" w:hAnsi="Calibri" w:eastAsia="Calibri" w:cs="Calibri"/>
          <w:color w:val="FF0000"/>
          <w:sz w:val="24"/>
          <w:szCs w:val="24"/>
          <w:lang w:val="it-IT"/>
        </w:rPr>
      </w:pPr>
      <w:r>
        <w:rPr>
          <w:rFonts w:eastAsia="Calibri" w:cs="Calibri" w:ascii="Calibri" w:hAnsi="Calibri"/>
          <w:color w:val="FF0000"/>
          <w:sz w:val="24"/>
          <w:szCs w:val="24"/>
          <w:lang w:val="it-IT"/>
        </w:rPr>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 xml:space="preserve">A partire dal focolaio epidemico di infezione da E.coli produttore di shigatossina, che si è verificato nel 2011 in alcuni Paesi dell’Unione Europea a causa del consumo di insalata di germogli contaminata e passando al caso dei minestroni surgelati consumati impropriamente tal quali e dai quali sono originati numerosi casi di </w:t>
      </w:r>
      <w:r>
        <w:rPr>
          <w:rFonts w:eastAsia="Calibri" w:cs="Calibri" w:ascii="Calibri" w:hAnsi="Calibri"/>
          <w:b/>
          <w:sz w:val="24"/>
          <w:szCs w:val="24"/>
          <w:lang w:val="it-IT"/>
        </w:rPr>
        <w:t>listeriosi</w:t>
      </w:r>
      <w:r>
        <w:rPr>
          <w:rFonts w:eastAsia="Calibri" w:cs="Calibri" w:ascii="Calibri" w:hAnsi="Calibri"/>
          <w:sz w:val="24"/>
          <w:szCs w:val="24"/>
          <w:lang w:val="it-IT"/>
        </w:rPr>
        <w:t xml:space="preserve">, nonché ai casi di </w:t>
      </w:r>
      <w:r>
        <w:rPr>
          <w:rFonts w:eastAsia="Calibri" w:cs="Calibri" w:ascii="Calibri" w:hAnsi="Calibri"/>
          <w:b/>
          <w:sz w:val="24"/>
          <w:szCs w:val="24"/>
          <w:lang w:val="it-IT"/>
        </w:rPr>
        <w:t xml:space="preserve">salmonellosi </w:t>
      </w:r>
      <w:r>
        <w:rPr>
          <w:rFonts w:eastAsia="Calibri" w:cs="Calibri" w:ascii="Calibri" w:hAnsi="Calibri"/>
          <w:sz w:val="24"/>
          <w:szCs w:val="24"/>
          <w:lang w:val="it-IT"/>
        </w:rPr>
        <w:t xml:space="preserve">(Salmonella Umbilo) da consumo di insalate di prima gamma (rucola e spinaci in foglie) o ai sospetti sui pomodorini a grappolo (pachino, ciliegino, datterino, ecc.) per i casi da Salmonella stratchona, emerge che </w:t>
      </w:r>
      <w:r>
        <w:rPr>
          <w:rFonts w:eastAsia="Calibri" w:cs="Calibri" w:ascii="Calibri" w:hAnsi="Calibri"/>
          <w:b/>
          <w:sz w:val="24"/>
          <w:szCs w:val="24"/>
          <w:lang w:val="it-IT"/>
        </w:rPr>
        <w:t>il rischio microbiologico dei prodotti vegetali non è trascurabile.</w:t>
      </w:r>
      <w:r>
        <w:rPr>
          <w:rStyle w:val="Richiamoallanotaapidipagina"/>
          <w:rFonts w:eastAsia="Calibri" w:cs="Calibri" w:ascii="Calibri" w:hAnsi="Calibri"/>
          <w:sz w:val="24"/>
          <w:szCs w:val="24"/>
          <w:vertAlign w:val="superscript"/>
        </w:rPr>
        <w:footnoteReference w:id="2"/>
      </w:r>
      <w:r>
        <w:rPr>
          <w:rFonts w:eastAsia="Calibri" w:cs="Calibri" w:ascii="Calibri" w:hAnsi="Calibri"/>
          <w:sz w:val="24"/>
          <w:szCs w:val="24"/>
          <w:lang w:val="it-IT"/>
        </w:rPr>
        <w:t xml:space="preserve">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 xml:space="preserve">Per quanto concerne </w:t>
      </w:r>
      <w:r>
        <w:rPr>
          <w:rFonts w:eastAsia="Calibri" w:cs="Calibri" w:ascii="Calibri" w:hAnsi="Calibri"/>
          <w:i/>
          <w:sz w:val="24"/>
          <w:szCs w:val="24"/>
          <w:lang w:val="it-IT"/>
        </w:rPr>
        <w:t>Salmonella</w:t>
      </w:r>
      <w:r>
        <w:rPr>
          <w:rFonts w:eastAsia="Calibri" w:cs="Calibri" w:ascii="Calibri" w:hAnsi="Calibri"/>
          <w:sz w:val="24"/>
          <w:szCs w:val="24"/>
          <w:lang w:val="it-IT"/>
        </w:rPr>
        <w:t xml:space="preserve"> in particolare nel corso dell’ultimo periodo sono stati documentati </w:t>
      </w:r>
      <w:r>
        <w:rPr>
          <w:rFonts w:eastAsia="Calibri" w:cs="Calibri" w:ascii="Calibri" w:hAnsi="Calibri"/>
          <w:b/>
          <w:sz w:val="24"/>
          <w:szCs w:val="24"/>
          <w:lang w:val="it-IT"/>
        </w:rPr>
        <w:t>tre importanti focolai di salmonellosi associati ad alimenti di origine non animale</w:t>
      </w:r>
      <w:r>
        <w:rPr>
          <w:rFonts w:eastAsia="Calibri" w:cs="Calibri" w:ascii="Calibri" w:hAnsi="Calibri"/>
          <w:sz w:val="24"/>
          <w:szCs w:val="24"/>
          <w:lang w:val="it-IT"/>
        </w:rPr>
        <w:t xml:space="preserve"> che hanno interessato numerosi paesi europei.</w:t>
      </w:r>
      <w:r>
        <w:rPr>
          <w:rStyle w:val="Richiamoallanotaapidipagina"/>
          <w:rFonts w:eastAsia="Calibri" w:cs="Calibri" w:ascii="Calibri" w:hAnsi="Calibri"/>
          <w:sz w:val="24"/>
          <w:szCs w:val="24"/>
          <w:vertAlign w:val="superscript"/>
        </w:rPr>
        <w:footnoteReference w:id="3"/>
      </w:r>
      <w:r>
        <w:rPr>
          <w:rFonts w:eastAsia="Calibri" w:cs="Calibri" w:ascii="Calibri" w:hAnsi="Calibri"/>
          <w:sz w:val="24"/>
          <w:szCs w:val="24"/>
          <w:lang w:val="it-IT"/>
        </w:rPr>
        <w:t xml:space="preserve">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 xml:space="preserve">Come documentato congiuntamente da EFSA ed ECDC nel periodo </w:t>
      </w:r>
      <w:r>
        <w:rPr>
          <w:rFonts w:eastAsia="Calibri" w:cs="Calibri" w:ascii="Calibri" w:hAnsi="Calibri"/>
          <w:b/>
          <w:sz w:val="24"/>
          <w:szCs w:val="24"/>
          <w:lang w:val="it-IT"/>
        </w:rPr>
        <w:t xml:space="preserve">2021-2024 sono stati notificati 232 casi umani di salmonellosi da </w:t>
      </w:r>
      <w:r>
        <w:rPr>
          <w:rFonts w:eastAsia="Calibri" w:cs="Calibri" w:ascii="Calibri" w:hAnsi="Calibri"/>
          <w:b/>
          <w:i/>
          <w:sz w:val="24"/>
          <w:szCs w:val="24"/>
          <w:lang w:val="it-IT"/>
        </w:rPr>
        <w:t>Salmonella</w:t>
      </w:r>
      <w:r>
        <w:rPr>
          <w:rFonts w:eastAsia="Calibri" w:cs="Calibri" w:ascii="Calibri" w:hAnsi="Calibri"/>
          <w:b/>
          <w:sz w:val="24"/>
          <w:szCs w:val="24"/>
          <w:lang w:val="it-IT"/>
        </w:rPr>
        <w:t xml:space="preserve"> Strathcona</w:t>
      </w:r>
      <w:r>
        <w:rPr>
          <w:rFonts w:eastAsia="Calibri" w:cs="Calibri" w:ascii="Calibri" w:hAnsi="Calibri"/>
          <w:sz w:val="24"/>
          <w:szCs w:val="24"/>
          <w:lang w:val="it-IT"/>
        </w:rPr>
        <w:t>, che hanno interessato complessivamente 16 paesi dell’area europea e dalle indagini condotte in diversi paesi i pomodorini sono stati identificati come la principale fonte di infezione.</w:t>
      </w:r>
      <w:r>
        <w:rPr>
          <w:rStyle w:val="Richiamoallanotaapidipagina"/>
          <w:rFonts w:eastAsia="Calibri" w:cs="Calibri" w:ascii="Calibri" w:hAnsi="Calibri"/>
          <w:sz w:val="24"/>
          <w:szCs w:val="24"/>
          <w:vertAlign w:val="superscript"/>
        </w:rPr>
        <w:footnoteReference w:id="4"/>
      </w:r>
      <w:r>
        <w:rPr>
          <w:rFonts w:eastAsia="Calibri" w:cs="Calibri" w:ascii="Calibri" w:hAnsi="Calibri"/>
          <w:sz w:val="24"/>
          <w:szCs w:val="24"/>
          <w:lang w:val="it-IT"/>
        </w:rPr>
        <w:t xml:space="preserve">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Altri 200 casi circa di salmonellosi da</w:t>
      </w:r>
      <w:r>
        <w:rPr>
          <w:rFonts w:eastAsia="Calibri" w:cs="Calibri" w:ascii="Calibri" w:hAnsi="Calibri"/>
          <w:i/>
          <w:sz w:val="24"/>
          <w:szCs w:val="24"/>
          <w:lang w:val="it-IT"/>
        </w:rPr>
        <w:t xml:space="preserve"> Salmonella</w:t>
      </w:r>
      <w:r>
        <w:rPr>
          <w:rFonts w:eastAsia="Calibri" w:cs="Calibri" w:ascii="Calibri" w:hAnsi="Calibri"/>
          <w:sz w:val="24"/>
          <w:szCs w:val="24"/>
          <w:lang w:val="it-IT"/>
        </w:rPr>
        <w:t xml:space="preserve"> Umbilo sono stati notificati in 3 paesi europei e l’origine del focolaio è stato ricondotto a </w:t>
      </w:r>
      <w:r>
        <w:rPr>
          <w:rFonts w:eastAsia="Calibri" w:cs="Calibri" w:ascii="Calibri" w:hAnsi="Calibri"/>
          <w:b/>
          <w:sz w:val="24"/>
          <w:szCs w:val="24"/>
          <w:lang w:val="it-IT"/>
        </w:rPr>
        <w:t>rucola e spinacino di prima gamma prodotti da una azienda italiana</w:t>
      </w:r>
      <w:r>
        <w:rPr>
          <w:rFonts w:eastAsia="Calibri" w:cs="Calibri" w:ascii="Calibri" w:hAnsi="Calibri"/>
          <w:sz w:val="24"/>
          <w:szCs w:val="24"/>
          <w:lang w:val="it-IT"/>
        </w:rPr>
        <w:t>.</w:t>
      </w:r>
      <w:r>
        <w:rPr>
          <w:rStyle w:val="Richiamoallanotaapidipagina"/>
          <w:rFonts w:eastAsia="Calibri" w:cs="Calibri" w:ascii="Calibri" w:hAnsi="Calibri"/>
          <w:sz w:val="24"/>
          <w:szCs w:val="24"/>
          <w:vertAlign w:val="superscript"/>
        </w:rPr>
        <w:footnoteReference w:id="5"/>
      </w:r>
      <w:r>
        <w:rPr>
          <w:rFonts w:eastAsia="Calibri" w:cs="Calibri" w:ascii="Calibri" w:hAnsi="Calibri"/>
          <w:sz w:val="24"/>
          <w:szCs w:val="24"/>
          <w:lang w:val="it-IT"/>
        </w:rPr>
        <w:t xml:space="preserve">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 xml:space="preserve">Infine, nel periodo </w:t>
      </w:r>
      <w:r>
        <w:rPr>
          <w:rFonts w:eastAsia="Calibri" w:cs="Calibri" w:ascii="Calibri" w:hAnsi="Calibri"/>
          <w:b/>
          <w:sz w:val="24"/>
          <w:szCs w:val="24"/>
          <w:lang w:val="it-IT"/>
        </w:rPr>
        <w:t>gennaio 2023-gennaio 2025</w:t>
      </w:r>
      <w:r>
        <w:rPr>
          <w:rFonts w:eastAsia="Calibri" w:cs="Calibri" w:ascii="Calibri" w:hAnsi="Calibri"/>
          <w:sz w:val="24"/>
          <w:szCs w:val="24"/>
          <w:lang w:val="it-IT"/>
        </w:rPr>
        <w:t xml:space="preserve"> sono stati notificati</w:t>
      </w:r>
      <w:r>
        <w:rPr>
          <w:rFonts w:eastAsia="Calibri" w:cs="Calibri" w:ascii="Calibri" w:hAnsi="Calibri"/>
          <w:b/>
          <w:sz w:val="24"/>
          <w:szCs w:val="24"/>
          <w:lang w:val="it-IT"/>
        </w:rPr>
        <w:t xml:space="preserve"> oltre 500 casi di salmonellosi </w:t>
      </w:r>
      <w:r>
        <w:rPr>
          <w:rFonts w:eastAsia="Calibri" w:cs="Calibri" w:ascii="Calibri" w:hAnsi="Calibri"/>
          <w:sz w:val="24"/>
          <w:szCs w:val="24"/>
          <w:lang w:val="it-IT"/>
        </w:rPr>
        <w:t xml:space="preserve">attribuibili a 8 diversi sierotipi, alcuni dei quali molto rari e associati al consumo di semi germogliati. Questi focolai hanno interessato 9 paesi dell’area europea. </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 xml:space="preserve">Per quanto riguarda il </w:t>
      </w:r>
      <w:r>
        <w:rPr>
          <w:rFonts w:eastAsia="Calibri" w:cs="Calibri" w:ascii="Calibri" w:hAnsi="Calibri"/>
          <w:b/>
          <w:sz w:val="24"/>
          <w:szCs w:val="24"/>
          <w:lang w:val="it-IT"/>
        </w:rPr>
        <w:t>botulismo alimentare, l’Italia riporta costantemente uno dei tassi di prevalenza più alti dell’UE</w:t>
      </w:r>
      <w:r>
        <w:rPr>
          <w:rStyle w:val="Richiamoallanotaapidipagina"/>
          <w:rFonts w:eastAsia="Calibri" w:cs="Calibri" w:ascii="Calibri" w:hAnsi="Calibri"/>
          <w:sz w:val="24"/>
          <w:szCs w:val="24"/>
          <w:vertAlign w:val="superscript"/>
        </w:rPr>
        <w:footnoteReference w:id="6"/>
      </w:r>
      <w:r>
        <w:rPr>
          <w:rFonts w:eastAsia="Calibri" w:cs="Calibri" w:ascii="Calibri" w:hAnsi="Calibri"/>
          <w:sz w:val="24"/>
          <w:szCs w:val="24"/>
          <w:lang w:val="it-IT"/>
        </w:rPr>
        <w:t>, anche a causa della spiccata tradizione consolidata nella popolazione rispetto alla preparazione delle conserve alimentari in ambito domestico. I focolai correlati al consumo di alimenti di produzione industriale, sono invece molto rari, ma destano maggiore preoccupazione sia per la popolazione sia per le autorità di controllo in quanto possono potenzialmente coinvolgere un elevato numero di persone.</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t>È aumentato il numero di focolai associati agli alimenti di origine non animale, dei casi di malattia, dei ricoveri ospedalieri e dei decessi, anche se gli alimenti di origine animale continuano a essere la principale fonte.</w:t>
      </w:r>
    </w:p>
    <w:p>
      <w:pPr>
        <w:pStyle w:val="Normal"/>
        <w:spacing w:before="0" w:after="0"/>
        <w:rPr>
          <w:rFonts w:ascii="Calibri" w:hAnsi="Calibri" w:eastAsia="Calibri" w:cs="Calibri"/>
          <w:sz w:val="24"/>
          <w:szCs w:val="24"/>
          <w:lang w:val="it-IT"/>
        </w:rPr>
      </w:pPr>
      <w:r>
        <w:rPr>
          <w:rFonts w:eastAsia="Calibri" w:cs="Calibri" w:ascii="Calibri" w:hAnsi="Calibri"/>
          <w:sz w:val="24"/>
          <w:szCs w:val="24"/>
          <w:lang w:val="it-IT"/>
        </w:rPr>
      </w:r>
    </w:p>
    <w:p>
      <w:pPr>
        <w:pStyle w:val="Normal"/>
        <w:spacing w:before="0" w:after="0"/>
        <w:rPr>
          <w:rFonts w:ascii="Calibri" w:hAnsi="Calibri" w:eastAsia="Calibri" w:cs="Calibri"/>
          <w:b/>
          <w:b/>
          <w:color w:val="1F4E79"/>
          <w:sz w:val="24"/>
          <w:szCs w:val="24"/>
        </w:rPr>
      </w:pPr>
      <w:r>
        <w:rPr>
          <w:rFonts w:eastAsia="Calibri" w:cs="Calibri" w:ascii="Calibri" w:hAnsi="Calibri"/>
          <w:b/>
          <w:color w:val="1F4E79"/>
          <w:sz w:val="24"/>
          <w:szCs w:val="24"/>
        </w:rPr>
        <w:t>Vademecum</w:t>
      </w:r>
    </w:p>
    <w:p>
      <w:pPr>
        <w:pStyle w:val="Normal"/>
        <w:spacing w:before="0" w:after="0"/>
        <w:rPr>
          <w:rFonts w:ascii="Calibri" w:hAnsi="Calibri" w:eastAsia="Roboto" w:cs="Calibri"/>
          <w:b/>
          <w:b/>
          <w:color w:val="333333"/>
          <w:sz w:val="24"/>
          <w:szCs w:val="24"/>
          <w:highlight w:val="white"/>
        </w:rPr>
      </w:pPr>
      <w:r>
        <w:rPr>
          <w:rFonts w:eastAsia="Roboto" w:cs="Calibri" w:ascii="Calibri" w:hAnsi="Calibri"/>
          <w:b/>
          <w:color w:val="333333"/>
          <w:sz w:val="24"/>
          <w:szCs w:val="24"/>
          <w:highlight w:val="white"/>
        </w:rPr>
      </w:r>
    </w:p>
    <w:p>
      <w:pPr>
        <w:pStyle w:val="Normal"/>
        <w:numPr>
          <w:ilvl w:val="0"/>
          <w:numId w:val="2"/>
        </w:numPr>
        <w:spacing w:before="0" w:after="0"/>
        <w:ind w:left="720" w:right="-1" w:hanging="360"/>
        <w:jc w:val="left"/>
        <w:rPr>
          <w:rFonts w:ascii="Calibri" w:hAnsi="Calibri" w:eastAsia="Noto Sans Symbols" w:cs="Calibri"/>
          <w:color w:val="000000"/>
          <w:sz w:val="24"/>
          <w:szCs w:val="24"/>
          <w:lang w:val="it-IT"/>
        </w:rPr>
      </w:pPr>
      <w:r>
        <w:rPr>
          <w:rFonts w:eastAsia="Calibri" w:cs="Calibri" w:ascii="Calibri" w:hAnsi="Calibri"/>
          <w:sz w:val="24"/>
          <w:szCs w:val="24"/>
          <w:lang w:val="it-IT"/>
        </w:rPr>
        <w:t>lavare gli alimenti in acqua, per immersione;</w:t>
      </w:r>
    </w:p>
    <w:p>
      <w:pPr>
        <w:pStyle w:val="Normal"/>
        <w:numPr>
          <w:ilvl w:val="0"/>
          <w:numId w:val="2"/>
        </w:numPr>
        <w:spacing w:before="0" w:after="0"/>
        <w:ind w:left="720" w:right="-1" w:hanging="360"/>
        <w:jc w:val="left"/>
        <w:rPr>
          <w:rFonts w:ascii="Calibri" w:hAnsi="Calibri" w:eastAsia="Noto Sans Symbols" w:cs="Calibri"/>
          <w:color w:val="000000"/>
          <w:sz w:val="24"/>
          <w:szCs w:val="24"/>
          <w:lang w:val="it-IT"/>
        </w:rPr>
      </w:pPr>
      <w:r>
        <w:rPr>
          <w:rFonts w:eastAsia="Calibri" w:cs="Calibri" w:ascii="Calibri" w:hAnsi="Calibri"/>
          <w:sz w:val="24"/>
          <w:szCs w:val="24"/>
          <w:lang w:val="it-IT"/>
        </w:rPr>
        <w:t>tenere separati gli alimenti crudi e cotti per prevenire contaminazioni crociate;</w:t>
      </w:r>
    </w:p>
    <w:p>
      <w:pPr>
        <w:pStyle w:val="Normal"/>
        <w:numPr>
          <w:ilvl w:val="0"/>
          <w:numId w:val="2"/>
        </w:numPr>
        <w:spacing w:before="0" w:after="0"/>
        <w:ind w:left="720" w:right="-1" w:hanging="360"/>
        <w:jc w:val="left"/>
        <w:rPr>
          <w:rFonts w:ascii="Calibri" w:hAnsi="Calibri" w:eastAsia="Noto Sans Symbols" w:cs="Calibri"/>
          <w:color w:val="000000"/>
          <w:sz w:val="24"/>
          <w:szCs w:val="24"/>
          <w:lang w:val="it-IT"/>
        </w:rPr>
      </w:pPr>
      <w:r>
        <w:rPr>
          <w:rFonts w:eastAsia="Calibri" w:cs="Calibri" w:ascii="Calibri" w:hAnsi="Calibri"/>
          <w:sz w:val="24"/>
          <w:szCs w:val="24"/>
          <w:lang w:val="it-IT"/>
        </w:rPr>
        <w:t>utilizzare utensili, taglieri e superfici puliti per i diversi tipi di alimenti;</w:t>
      </w:r>
    </w:p>
    <w:p>
      <w:pPr>
        <w:pStyle w:val="Normal"/>
        <w:numPr>
          <w:ilvl w:val="0"/>
          <w:numId w:val="2"/>
        </w:numPr>
        <w:spacing w:before="0" w:after="0"/>
        <w:ind w:left="720" w:right="-1" w:hanging="360"/>
        <w:jc w:val="left"/>
        <w:rPr>
          <w:rFonts w:ascii="Calibri" w:hAnsi="Calibri" w:eastAsia="Noto Sans Symbols" w:cs="Calibri"/>
          <w:color w:val="000000"/>
          <w:sz w:val="24"/>
          <w:szCs w:val="24"/>
          <w:lang w:val="it-IT"/>
        </w:rPr>
      </w:pPr>
      <w:r>
        <w:rPr>
          <w:rFonts w:eastAsia="Calibri" w:cs="Calibri" w:ascii="Calibri" w:hAnsi="Calibri"/>
          <w:sz w:val="24"/>
          <w:szCs w:val="24"/>
          <w:lang w:val="it-IT"/>
        </w:rPr>
        <w:t>lavare accuratamente le mani prima e dopo la manipolazione;</w:t>
      </w:r>
    </w:p>
    <w:p>
      <w:pPr>
        <w:pStyle w:val="Normal"/>
        <w:numPr>
          <w:ilvl w:val="0"/>
          <w:numId w:val="2"/>
        </w:numPr>
        <w:spacing w:before="0" w:after="280"/>
        <w:ind w:left="720" w:right="-1" w:hanging="360"/>
        <w:jc w:val="left"/>
        <w:rPr>
          <w:rFonts w:ascii="Calibri" w:hAnsi="Calibri" w:eastAsia="Noto Sans Symbols" w:cs="Calibri"/>
          <w:color w:val="000000"/>
          <w:sz w:val="24"/>
          <w:szCs w:val="24"/>
          <w:lang w:val="it-IT"/>
        </w:rPr>
      </w:pPr>
      <w:r>
        <w:rPr>
          <w:rFonts w:eastAsia="Calibri" w:cs="Calibri" w:ascii="Calibri" w:hAnsi="Calibri"/>
          <w:sz w:val="24"/>
          <w:szCs w:val="24"/>
          <w:lang w:val="it-IT"/>
        </w:rPr>
        <w:t xml:space="preserve">conservare gli alimenti deperibili in frigorifero a una temperatura inferiore a 4º C per rallentare o bloccare la crescita batterica. </w:t>
      </w:r>
    </w:p>
    <w:p>
      <w:pPr>
        <w:pStyle w:val="Normal"/>
        <w:spacing w:lineRule="auto" w:line="259" w:before="0" w:after="1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Novità dell’edizione 2025</w:t>
      </w:r>
    </w:p>
    <w:p>
      <w:pPr>
        <w:pStyle w:val="Normal"/>
        <w:spacing w:lineRule="auto" w:line="259" w:before="0" w:after="160"/>
        <w:rPr>
          <w:rFonts w:ascii="Calibri" w:hAnsi="Calibri" w:eastAsia="Calibri" w:cs="Calibri"/>
          <w:sz w:val="24"/>
          <w:szCs w:val="24"/>
          <w:lang w:val="it-IT"/>
        </w:rPr>
      </w:pPr>
      <w:r>
        <w:rPr>
          <w:rFonts w:eastAsia="Calibri" w:cs="Calibri" w:ascii="Calibri" w:hAnsi="Calibri"/>
          <w:sz w:val="24"/>
          <w:szCs w:val="24"/>
          <w:lang w:val="it-IT"/>
        </w:rPr>
        <w:t>Basandosi sui risultati ottenuti lo scorso anno, nel 2025 la campagna Safe2Eat si prefigge di migliorare il suo impatto nei seguenti modi:</w:t>
      </w:r>
    </w:p>
    <w:p>
      <w:pPr>
        <w:pStyle w:val="Normal"/>
        <w:numPr>
          <w:ilvl w:val="0"/>
          <w:numId w:val="4"/>
        </w:numPr>
        <w:spacing w:lineRule="auto" w:line="259" w:before="0" w:after="160"/>
        <w:ind w:left="720" w:right="-1" w:hanging="360"/>
        <w:jc w:val="left"/>
        <w:rPr>
          <w:rFonts w:ascii="Calibri" w:hAnsi="Calibri" w:eastAsia="Calibri" w:cs="Calibri"/>
          <w:sz w:val="24"/>
          <w:szCs w:val="24"/>
          <w:lang w:val="it-IT"/>
        </w:rPr>
      </w:pPr>
      <w:r>
        <w:rPr>
          <w:rFonts w:eastAsia="Calibri" w:cs="Calibri" w:ascii="Calibri" w:hAnsi="Calibri"/>
          <w:b/>
          <w:sz w:val="24"/>
          <w:szCs w:val="24"/>
          <w:lang w:val="it-IT"/>
        </w:rPr>
        <w:t>ampliando la sua presenza a 23 paesi</w:t>
      </w:r>
      <w:r>
        <w:rPr>
          <w:rFonts w:eastAsia="Calibri" w:cs="Calibri" w:ascii="Calibri" w:hAnsi="Calibri"/>
          <w:sz w:val="24"/>
          <w:szCs w:val="24"/>
          <w:lang w:val="it-IT"/>
        </w:rPr>
        <w:t>, compresi cinque nuovi partecipanti, allargando il raggio d’azione e il coinvolgimento della campagna in Europa;</w:t>
      </w:r>
    </w:p>
    <w:p>
      <w:pPr>
        <w:pStyle w:val="Normal"/>
        <w:numPr>
          <w:ilvl w:val="0"/>
          <w:numId w:val="4"/>
        </w:numPr>
        <w:spacing w:lineRule="auto" w:line="259" w:before="0" w:after="160"/>
        <w:ind w:left="720" w:right="-1" w:hanging="360"/>
        <w:jc w:val="left"/>
        <w:rPr>
          <w:rFonts w:ascii="Calibri" w:hAnsi="Calibri" w:eastAsia="Calibri" w:cs="Calibri"/>
          <w:sz w:val="24"/>
          <w:szCs w:val="24"/>
          <w:lang w:val="it-IT"/>
        </w:rPr>
      </w:pPr>
      <w:r>
        <w:rPr>
          <w:rFonts w:eastAsia="Calibri" w:cs="Calibri" w:ascii="Calibri" w:hAnsi="Calibri"/>
          <w:b/>
          <w:sz w:val="24"/>
          <w:szCs w:val="24"/>
          <w:lang w:val="it-IT"/>
        </w:rPr>
        <w:t>affrontando le preoccupazioni principali dei consumatori</w:t>
      </w:r>
      <w:r>
        <w:rPr>
          <w:rFonts w:eastAsia="Calibri" w:cs="Calibri" w:ascii="Calibri" w:hAnsi="Calibri"/>
          <w:sz w:val="24"/>
          <w:szCs w:val="24"/>
          <w:lang w:val="it-IT"/>
        </w:rPr>
        <w:t xml:space="preserve"> riguardo alla sicurezza alimentare, tra cui il ruolo della scienza nel garantire alimenti sicuri, l’importanza di un’etichettatura alimentare chiara e i benefici di ridurre gli sprechi alimentari;</w:t>
      </w:r>
    </w:p>
    <w:p>
      <w:pPr>
        <w:pStyle w:val="Normal"/>
        <w:numPr>
          <w:ilvl w:val="0"/>
          <w:numId w:val="4"/>
        </w:numPr>
        <w:spacing w:lineRule="auto" w:line="259" w:before="0" w:after="160"/>
        <w:ind w:left="720" w:right="-1" w:hanging="360"/>
        <w:jc w:val="left"/>
        <w:rPr>
          <w:rFonts w:ascii="Calibri" w:hAnsi="Calibri" w:eastAsia="Calibri" w:cs="Calibri"/>
          <w:sz w:val="24"/>
          <w:szCs w:val="24"/>
          <w:lang w:val="it-IT"/>
        </w:rPr>
      </w:pPr>
      <w:r>
        <w:rPr>
          <w:rFonts w:eastAsia="Calibri" w:cs="Calibri" w:ascii="Calibri" w:hAnsi="Calibri"/>
          <w:b/>
          <w:sz w:val="24"/>
          <w:szCs w:val="24"/>
          <w:lang w:val="it-IT"/>
        </w:rPr>
        <w:t>migliorando l’accessibilità</w:t>
      </w:r>
      <w:r>
        <w:rPr>
          <w:rFonts w:eastAsia="Calibri" w:cs="Calibri" w:ascii="Calibri" w:hAnsi="Calibri"/>
          <w:sz w:val="24"/>
          <w:szCs w:val="24"/>
          <w:lang w:val="it-IT"/>
        </w:rPr>
        <w:t xml:space="preserve"> delle informazioni sulla sicurezza alimentare attraverso risorse nuove e di facile comprensione su misura delle diverse fasce di età e dei contesti culturali.</w:t>
      </w:r>
    </w:p>
    <w:p>
      <w:pPr>
        <w:pStyle w:val="Normal"/>
        <w:spacing w:lineRule="auto" w:line="259" w:before="0" w:after="1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L’impegno dell’EFSA per il successo a lungo termine</w:t>
      </w:r>
    </w:p>
    <w:p>
      <w:pPr>
        <w:pStyle w:val="Normal"/>
        <w:spacing w:lineRule="auto" w:line="259" w:before="0" w:after="160"/>
        <w:rPr>
          <w:rFonts w:ascii="Calibri" w:hAnsi="Calibri" w:eastAsia="Calibri" w:cs="Calibri"/>
          <w:sz w:val="24"/>
          <w:szCs w:val="24"/>
          <w:lang w:val="it-IT"/>
        </w:rPr>
      </w:pPr>
      <w:bookmarkStart w:id="0" w:name="_heading=h.gjdgxs"/>
      <w:bookmarkEnd w:id="0"/>
      <w:r>
        <w:rPr>
          <w:rFonts w:eastAsia="Calibri" w:cs="Calibri" w:ascii="Calibri" w:hAnsi="Calibri"/>
          <w:sz w:val="24"/>
          <w:szCs w:val="24"/>
          <w:lang w:val="it-IT"/>
        </w:rPr>
        <w:t>«</w:t>
      </w:r>
      <w:r>
        <w:rPr>
          <w:rFonts w:eastAsia="Calibri" w:cs="Calibri" w:ascii="Calibri" w:hAnsi="Calibri"/>
          <w:i/>
          <w:sz w:val="24"/>
          <w:szCs w:val="24"/>
          <w:lang w:val="it-IT"/>
        </w:rPr>
        <w:t>Poiché i consumatori europei devono muoversi all’interno di un panorama alimentare complesso, risulta fondamentale metterli nella condizione di fare scelte informate</w:t>
      </w:r>
      <w:r>
        <w:rPr>
          <w:rFonts w:eastAsia="Calibri" w:cs="Calibri" w:ascii="Calibri" w:hAnsi="Calibri"/>
          <w:sz w:val="24"/>
          <w:szCs w:val="24"/>
          <w:lang w:val="it-IT"/>
        </w:rPr>
        <w:t>», ha affermato Bernhard Url, Direttore esecutivo dell’EFSA. «</w:t>
      </w:r>
      <w:r>
        <w:rPr>
          <w:rFonts w:eastAsia="Calibri" w:cs="Calibri" w:ascii="Calibri" w:hAnsi="Calibri"/>
          <w:i/>
          <w:sz w:val="24"/>
          <w:szCs w:val="24"/>
          <w:lang w:val="it-IT"/>
        </w:rPr>
        <w:t>La campagna Safe2Eat getta un ponte tra la scienza della sicurezza alimentare e le decisioni quotidiane, offrendo informazioni chiare e pratiche che contribuiscono a consolidare la fiducia dei consumatori. Con l’allargamento volto a comprendere ancora più paesi nel 2025, compiamo un ulteriore passo in avanti per garantire che ogni singola persona possa accedere a orientamenti attendibili e supportati scientificamente sulla sicurezza alimentare.»</w:t>
      </w:r>
    </w:p>
    <w:p>
      <w:pPr>
        <w:pStyle w:val="Normal"/>
        <w:shd w:val="clear" w:color="auto" w:fill="FFFFFF"/>
        <w:spacing w:lineRule="auto" w:line="259" w:before="0" w:after="0"/>
        <w:rPr>
          <w:rFonts w:ascii="Calibri" w:hAnsi="Calibri" w:eastAsia="Calibri" w:cs="Calibri"/>
          <w:sz w:val="24"/>
          <w:szCs w:val="24"/>
          <w:lang w:val="it-IT"/>
        </w:rPr>
      </w:pPr>
      <w:r>
        <w:rPr>
          <w:rFonts w:eastAsia="Calibri" w:cs="Calibri" w:ascii="Calibri" w:hAnsi="Calibri"/>
          <w:sz w:val="24"/>
          <w:szCs w:val="24"/>
          <w:lang w:val="it-IT"/>
        </w:rPr>
        <w:t>La campagna, che durerà fino a metà novembre, si rivolge in particolare ai cittadini tra i 18 e i 55 anni, e utilizza un linguaggio semplice, intuitivo e accattivante.</w:t>
      </w:r>
    </w:p>
    <w:p>
      <w:pPr>
        <w:pStyle w:val="Normal"/>
        <w:shd w:val="clear" w:color="auto" w:fill="FFFFFF"/>
        <w:spacing w:lineRule="auto" w:line="259" w:before="0" w:after="0"/>
        <w:rPr>
          <w:rFonts w:ascii="Calibri" w:hAnsi="Calibri" w:eastAsia="Calibri" w:cs="Calibri"/>
          <w:sz w:val="24"/>
          <w:szCs w:val="24"/>
          <w:lang w:val="it-IT"/>
        </w:rPr>
      </w:pPr>
      <w:r>
        <w:rPr>
          <w:rFonts w:eastAsia="Calibri" w:cs="Calibri" w:ascii="Calibri" w:hAnsi="Calibri"/>
          <w:sz w:val="24"/>
          <w:szCs w:val="24"/>
          <w:lang w:val="it-IT"/>
        </w:rPr>
      </w:r>
    </w:p>
    <w:p>
      <w:pPr>
        <w:pStyle w:val="Normal"/>
        <w:shd w:val="clear" w:color="auto" w:fill="FFFFFF"/>
        <w:spacing w:lineRule="auto" w:line="259" w:before="0" w:after="0"/>
        <w:rPr>
          <w:rFonts w:ascii="Calibri" w:hAnsi="Calibri" w:eastAsia="Calibri" w:cs="Calibri"/>
          <w:sz w:val="24"/>
          <w:szCs w:val="24"/>
          <w:lang w:val="it-IT"/>
        </w:rPr>
      </w:pPr>
      <w:r>
        <w:rPr>
          <w:rFonts w:eastAsia="Calibri" w:cs="Calibri" w:ascii="Calibri" w:hAnsi="Calibri"/>
          <w:sz w:val="24"/>
          <w:szCs w:val="24"/>
          <w:lang w:val="it-IT"/>
        </w:rPr>
        <w:t>Le attività previste per la promozione della campagna includono ufficio stampa, media partnership, influencer marketing e programmatic advertising.</w:t>
      </w:r>
    </w:p>
    <w:p>
      <w:pPr>
        <w:pStyle w:val="Normal"/>
        <w:shd w:val="clear" w:color="auto" w:fill="FFFFFF"/>
        <w:spacing w:lineRule="auto" w:line="259" w:before="0" w:after="0"/>
        <w:rPr>
          <w:rFonts w:ascii="Calibri" w:hAnsi="Calibri" w:eastAsia="Montserrat" w:cs="Calibri"/>
          <w:b/>
          <w:b/>
          <w:color w:val="1F4E79"/>
          <w:sz w:val="21"/>
          <w:szCs w:val="21"/>
          <w:lang w:val="it-IT"/>
        </w:rPr>
      </w:pPr>
      <w:r>
        <w:rPr>
          <w:rFonts w:eastAsia="Montserrat" w:cs="Calibri" w:ascii="Calibri" w:hAnsi="Calibri"/>
          <w:b/>
          <w:color w:val="1F4E79"/>
          <w:sz w:val="21"/>
          <w:szCs w:val="21"/>
          <w:lang w:val="it-IT"/>
        </w:rPr>
      </w:r>
    </w:p>
    <w:p>
      <w:pPr>
        <w:pStyle w:val="Normal"/>
        <w:spacing w:lineRule="auto" w:line="259" w:before="0" w:after="1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r>
    </w:p>
    <w:p>
      <w:pPr>
        <w:pStyle w:val="Normal"/>
        <w:spacing w:lineRule="auto" w:line="259" w:before="0" w:after="1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r>
    </w:p>
    <w:p>
      <w:pPr>
        <w:pStyle w:val="Normal"/>
        <w:spacing w:lineRule="auto" w:line="259" w:before="0" w:after="16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t>Partecipazione</w:t>
      </w:r>
    </w:p>
    <w:p>
      <w:pPr>
        <w:pStyle w:val="Normal"/>
        <w:spacing w:lineRule="auto" w:line="259" w:before="0" w:after="160"/>
        <w:rPr>
          <w:rFonts w:ascii="Calibri" w:hAnsi="Calibri" w:cs="Calibri"/>
          <w:lang w:val="it-IT"/>
        </w:rPr>
      </w:pPr>
      <w:r>
        <w:rPr>
          <w:rFonts w:eastAsia="Calibri" w:cs="Calibri" w:ascii="Calibri" w:hAnsi="Calibri"/>
          <w:sz w:val="24"/>
          <w:szCs w:val="24"/>
          <w:lang w:val="it-IT"/>
        </w:rPr>
        <w:t xml:space="preserve">L’ampio ventaglio di iniziative della campagna Safe2Eat si svolgerà a livello europeo e nazionale nell’arco dell’anno. I consumatori sono invitati a visitare il </w:t>
      </w:r>
      <w:hyperlink r:id="rId2">
        <w:r>
          <w:rPr>
            <w:rStyle w:val="CollegamentoInternet"/>
            <w:rFonts w:cs="Calibri" w:ascii="Calibri" w:hAnsi="Calibri"/>
            <w:sz w:val="24"/>
            <w:szCs w:val="24"/>
            <w:lang w:val="it-IT"/>
          </w:rPr>
          <w:t>sito web ufficiale della campagna</w:t>
        </w:r>
      </w:hyperlink>
      <w:r>
        <w:rPr>
          <w:rFonts w:eastAsia="Calibri" w:cs="Calibri" w:ascii="Calibri" w:hAnsi="Calibri"/>
          <w:sz w:val="24"/>
          <w:szCs w:val="24"/>
          <w:lang w:val="it-IT"/>
        </w:rPr>
        <w:t>, prendendo visione dei materiali didattici e interagendo con i contenuti della campagna sui social media utilizzando l’hashtag #Safe2EatEU.</w:t>
      </w:r>
    </w:p>
    <w:p>
      <w:pPr>
        <w:pStyle w:val="Normal"/>
        <w:pBdr/>
        <w:spacing w:before="0" w:after="240"/>
        <w:ind w:right="0" w:hanging="0"/>
        <w:jc w:val="left"/>
        <w:rPr>
          <w:rFonts w:ascii="Calibri" w:hAnsi="Calibri" w:eastAsia="Calibri" w:cs="Calibri"/>
          <w:color w:val="000000"/>
          <w:sz w:val="24"/>
          <w:szCs w:val="24"/>
          <w:lang w:val="it-IT"/>
        </w:rPr>
      </w:pPr>
      <w:r>
        <w:rPr>
          <w:rFonts w:eastAsia="Calibri" w:cs="Calibri" w:ascii="Calibri" w:hAnsi="Calibri"/>
          <w:b/>
          <w:color w:val="1F4E79"/>
          <w:sz w:val="24"/>
          <w:szCs w:val="24"/>
          <w:lang w:val="it-IT"/>
        </w:rPr>
        <w:t xml:space="preserve">Gli esiti dell’ultima campagna </w:t>
        <w:br/>
        <w:t>Un campo d’azione più esteso e nuova consapevolezza: i punti salienti del 2024</w:t>
      </w:r>
    </w:p>
    <w:p>
      <w:pPr>
        <w:pStyle w:val="Normal"/>
        <w:pBdr/>
        <w:spacing w:before="0" w:after="0"/>
        <w:ind w:right="0" w:hanging="0"/>
        <w:rPr>
          <w:rFonts w:ascii="Calibri" w:hAnsi="Calibri" w:eastAsia="Calibri" w:cs="Calibri"/>
          <w:color w:val="000000"/>
          <w:sz w:val="24"/>
          <w:szCs w:val="24"/>
          <w:lang w:val="it-IT"/>
        </w:rPr>
      </w:pPr>
      <w:r>
        <w:rPr>
          <w:rFonts w:eastAsia="Calibri" w:cs="Calibri" w:ascii="Calibri" w:hAnsi="Calibri"/>
          <w:sz w:val="24"/>
          <w:szCs w:val="24"/>
          <w:lang w:val="it-IT"/>
        </w:rPr>
        <w:t xml:space="preserve">Safe2Eat ha conseguito risultati da record nel 2024. In base a un’indagine Ipsos condotta a dicembre, </w:t>
      </w:r>
      <w:r>
        <w:rPr>
          <w:rFonts w:eastAsia="Calibri" w:cs="Calibri" w:ascii="Calibri" w:hAnsi="Calibri"/>
          <w:b/>
          <w:sz w:val="24"/>
          <w:szCs w:val="24"/>
          <w:lang w:val="it-IT"/>
        </w:rPr>
        <w:t>la campagna ha raggiunto oltre il 45 % del pubblico di riferimento in Europa</w:t>
      </w:r>
      <w:r>
        <w:rPr>
          <w:rFonts w:eastAsia="Calibri" w:cs="Calibri" w:ascii="Calibri" w:hAnsi="Calibri"/>
          <w:sz w:val="24"/>
          <w:szCs w:val="24"/>
          <w:lang w:val="it-IT"/>
        </w:rPr>
        <w:t xml:space="preserve">, registrando un netto aumento dal 19 % del 2023. Grazie a una combinazione di promozione su social media, collaborazioni con influencer e iniziative mediatiche mirate, Safe2Eat ha visto il coinvolgimento attivo di </w:t>
      </w:r>
      <w:r>
        <w:rPr>
          <w:rFonts w:eastAsia="Calibri" w:cs="Calibri" w:ascii="Calibri" w:hAnsi="Calibri"/>
          <w:b/>
          <w:sz w:val="24"/>
          <w:szCs w:val="24"/>
          <w:lang w:val="it-IT"/>
        </w:rPr>
        <w:t>oltre 50 milioni di europei</w:t>
      </w:r>
      <w:r>
        <w:rPr>
          <w:rFonts w:eastAsia="Calibri" w:cs="Calibri" w:ascii="Calibri" w:hAnsi="Calibri"/>
          <w:sz w:val="24"/>
          <w:szCs w:val="24"/>
          <w:lang w:val="it-IT"/>
        </w:rPr>
        <w:t>, rafforzando l’importanza della sicurezza alimentare nelle decisioni quotidiane.</w:t>
      </w:r>
    </w:p>
    <w:p>
      <w:pPr>
        <w:pStyle w:val="Normal"/>
        <w:pBdr/>
        <w:spacing w:before="0" w:after="0"/>
        <w:ind w:right="0" w:hanging="0"/>
        <w:rPr>
          <w:rFonts w:ascii="Calibri" w:hAnsi="Calibri" w:eastAsia="Calibri" w:cs="Calibri"/>
          <w:color w:val="000000"/>
          <w:sz w:val="24"/>
          <w:szCs w:val="24"/>
          <w:lang w:val="it-IT"/>
        </w:rPr>
      </w:pPr>
      <w:r>
        <w:rPr>
          <w:rFonts w:eastAsia="Calibri" w:cs="Calibri" w:ascii="Calibri" w:hAnsi="Calibri"/>
          <w:color w:val="000000"/>
          <w:sz w:val="24"/>
          <w:szCs w:val="24"/>
          <w:lang w:val="it-IT"/>
        </w:rPr>
      </w:r>
    </w:p>
    <w:p>
      <w:pPr>
        <w:pStyle w:val="Normal"/>
        <w:pBdr/>
        <w:spacing w:before="0" w:after="0"/>
        <w:ind w:right="0" w:hanging="0"/>
        <w:rPr>
          <w:rFonts w:ascii="Calibri" w:hAnsi="Calibri" w:eastAsia="Calibri" w:cs="Calibri"/>
          <w:b/>
          <w:b/>
          <w:color w:val="1F4E79"/>
          <w:sz w:val="24"/>
          <w:szCs w:val="24"/>
          <w:lang w:val="it-IT"/>
        </w:rPr>
      </w:pPr>
      <w:r>
        <w:rPr>
          <w:rFonts w:eastAsia="Calibri" w:cs="Calibri" w:ascii="Calibri" w:hAnsi="Calibri"/>
          <w:sz w:val="24"/>
          <w:szCs w:val="24"/>
          <w:lang w:val="it-IT"/>
        </w:rPr>
        <w:t xml:space="preserve">La campagna ha anche condizionato i comportamenti dei consumatori. I risultati dell’indagine hanno rivelato che chi ha seguito la campagna era più incline a </w:t>
      </w:r>
      <w:r>
        <w:rPr>
          <w:rFonts w:eastAsia="Calibri" w:cs="Calibri" w:ascii="Calibri" w:hAnsi="Calibri"/>
          <w:b/>
          <w:sz w:val="24"/>
          <w:szCs w:val="24"/>
          <w:lang w:val="it-IT"/>
        </w:rPr>
        <w:t>tenere conto della sicurezza durante l’acquisto di prodotti alimentari.</w:t>
      </w:r>
      <w:r>
        <w:rPr>
          <w:rFonts w:eastAsia="Calibri" w:cs="Calibri" w:ascii="Calibri" w:hAnsi="Calibri"/>
          <w:sz w:val="24"/>
          <w:szCs w:val="24"/>
          <w:lang w:val="it-IT"/>
        </w:rPr>
        <w:t xml:space="preserve"> In più, si è assistito ad una notevole </w:t>
      </w:r>
      <w:r>
        <w:rPr>
          <w:rFonts w:eastAsia="Calibri" w:cs="Calibri" w:ascii="Calibri" w:hAnsi="Calibri"/>
          <w:b/>
          <w:sz w:val="24"/>
          <w:szCs w:val="24"/>
          <w:lang w:val="it-IT"/>
        </w:rPr>
        <w:t>riduzione nel considerare le informazioni sulla sicurezza alimentare eccessivamente tecniche o difficili da comprendere</w:t>
      </w:r>
      <w:r>
        <w:rPr>
          <w:rFonts w:eastAsia="Calibri" w:cs="Calibri" w:ascii="Calibri" w:hAnsi="Calibri"/>
          <w:sz w:val="24"/>
          <w:szCs w:val="24"/>
          <w:lang w:val="it-IT"/>
        </w:rPr>
        <w:t>. Le persone intervistate hanno infatti affermato di essere più informate su come prevenire i rischi alimentari.</w:t>
      </w:r>
    </w:p>
    <w:p>
      <w:pPr>
        <w:pStyle w:val="Normal"/>
        <w:pBdr/>
        <w:spacing w:before="0" w:after="0"/>
        <w:ind w:right="0" w:hanging="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r>
    </w:p>
    <w:p>
      <w:pPr>
        <w:pStyle w:val="Normal"/>
        <w:pBdr/>
        <w:spacing w:before="0" w:after="0"/>
        <w:ind w:right="0" w:hanging="0"/>
        <w:rPr>
          <w:rFonts w:ascii="Calibri" w:hAnsi="Calibri" w:eastAsia="Calibri" w:cs="Calibri"/>
          <w:b/>
          <w:b/>
          <w:color w:val="1F4E79"/>
          <w:sz w:val="24"/>
          <w:szCs w:val="24"/>
          <w:lang w:val="it-IT"/>
        </w:rPr>
      </w:pPr>
      <w:r>
        <w:rPr>
          <w:rFonts w:eastAsia="Calibri" w:cs="Calibri" w:ascii="Calibri" w:hAnsi="Calibri"/>
          <w:b/>
          <w:color w:val="1F4E79"/>
          <w:sz w:val="24"/>
          <w:szCs w:val="24"/>
          <w:lang w:val="it-IT"/>
        </w:rPr>
      </w:r>
    </w:p>
    <w:p>
      <w:pPr>
        <w:pStyle w:val="Normal"/>
        <w:pBdr/>
        <w:spacing w:before="0" w:after="0"/>
        <w:ind w:right="0" w:hanging="0"/>
        <w:rPr>
          <w:rFonts w:ascii="Calibri" w:hAnsi="Calibri" w:eastAsia="Calibri" w:cs="Calibri"/>
          <w:color w:val="1F4E79"/>
          <w:sz w:val="24"/>
          <w:szCs w:val="24"/>
          <w:lang w:val="it-IT"/>
        </w:rPr>
      </w:pPr>
      <w:r>
        <w:rPr>
          <w:rFonts w:eastAsia="Calibri" w:cs="Calibri" w:ascii="Calibri" w:hAnsi="Calibri"/>
          <w:b/>
          <w:color w:val="1F4E79"/>
          <w:sz w:val="24"/>
          <w:szCs w:val="24"/>
          <w:lang w:val="it-IT"/>
        </w:rPr>
        <w:t>EFSA</w:t>
      </w:r>
      <w:r>
        <w:rPr>
          <w:rFonts w:eastAsia="Calibri" w:cs="Calibri" w:ascii="Calibri" w:hAnsi="Calibri"/>
          <w:color w:val="1F4E79"/>
          <w:sz w:val="24"/>
          <w:szCs w:val="24"/>
          <w:lang w:val="it-IT"/>
        </w:rPr>
        <w:t>  </w:t>
      </w:r>
    </w:p>
    <w:p>
      <w:pPr>
        <w:pStyle w:val="Normal"/>
        <w:pBdr/>
        <w:spacing w:before="0" w:after="0"/>
        <w:ind w:right="0" w:hanging="0"/>
        <w:rPr>
          <w:rFonts w:ascii="Calibri" w:hAnsi="Calibri" w:eastAsia="Calibri" w:cs="Calibri"/>
          <w:color w:val="000000"/>
          <w:sz w:val="20"/>
          <w:szCs w:val="20"/>
          <w:lang w:val="it-IT"/>
        </w:rPr>
      </w:pPr>
      <w:r>
        <w:rPr>
          <w:rFonts w:eastAsia="Calibri" w:cs="Calibri" w:ascii="Calibri" w:hAnsi="Calibri"/>
          <w:sz w:val="20"/>
          <w:szCs w:val="20"/>
          <w:lang w:val="it-IT"/>
        </w:rPr>
        <w:t>L’Autorità europea per la sicurezza alimentare (EFSA) è un’agenzia dell’Unione Europea istituita nel 2002 con il compito di fungere da fonte imparziale di consulenze scientifiche per i gestori del rischio e di svolgere attività di comunicazione sui rischi associati alla filiera alimentare.  </w:t>
      </w:r>
    </w:p>
    <w:p>
      <w:pPr>
        <w:pStyle w:val="Normal"/>
        <w:pBdr/>
        <w:spacing w:before="0" w:after="0"/>
        <w:ind w:right="0" w:hanging="0"/>
        <w:rPr>
          <w:rFonts w:ascii="Calibri" w:hAnsi="Calibri" w:eastAsia="Calibri" w:cs="Calibri"/>
          <w:color w:val="000000"/>
          <w:sz w:val="20"/>
          <w:szCs w:val="20"/>
          <w:lang w:val="it-IT"/>
        </w:rPr>
      </w:pPr>
      <w:r>
        <w:rPr>
          <w:rFonts w:eastAsia="Calibri" w:cs="Calibri" w:ascii="Calibri" w:hAnsi="Calibri"/>
          <w:sz w:val="20"/>
          <w:szCs w:val="20"/>
          <w:lang w:val="it-IT"/>
        </w:rPr>
        <w:t>Fornisce le basi scientifiche per disposizioni legislative e regolamentari al fine di tutelare i consumatori europei dai rischi correlati agli alimenti. Inoltre, collabora con partner nazionali per promuovere la coerenza delle informazioni pubbliche in materia di sicurezza alimentare nell’UE.</w:t>
      </w:r>
    </w:p>
    <w:p>
      <w:pPr>
        <w:pStyle w:val="Normal"/>
        <w:pBdr/>
        <w:spacing w:before="0" w:after="0"/>
        <w:ind w:right="0" w:hanging="0"/>
        <w:rPr>
          <w:rFonts w:ascii="Calibri" w:hAnsi="Calibri" w:eastAsia="Calibri" w:cs="Calibri"/>
          <w:color w:val="000000"/>
          <w:sz w:val="24"/>
          <w:szCs w:val="24"/>
          <w:lang w:val="it-IT"/>
        </w:rPr>
      </w:pPr>
      <w:r>
        <w:rPr>
          <w:rFonts w:eastAsia="Calibri" w:cs="Calibri" w:ascii="Calibri" w:hAnsi="Calibri"/>
          <w:color w:val="000000"/>
          <w:sz w:val="24"/>
          <w:szCs w:val="24"/>
          <w:lang w:val="it-IT"/>
        </w:rPr>
        <w:t> </w:t>
      </w:r>
    </w:p>
    <w:p>
      <w:pPr>
        <w:pStyle w:val="Normal"/>
        <w:pBdr/>
        <w:spacing w:before="0" w:after="0"/>
        <w:ind w:right="0" w:hanging="0"/>
        <w:rPr>
          <w:rFonts w:ascii="Calibri" w:hAnsi="Calibri" w:eastAsia="Calibri" w:cs="Calibri"/>
          <w:b/>
          <w:b/>
          <w:color w:val="1F4E79"/>
          <w:sz w:val="24"/>
          <w:szCs w:val="24"/>
          <w:lang w:val="it-IT"/>
        </w:rPr>
      </w:pPr>
      <w:bookmarkStart w:id="1" w:name="_heading=h.et2o6fb2cxbo"/>
      <w:bookmarkEnd w:id="1"/>
      <w:r>
        <w:rPr>
          <w:rFonts w:eastAsia="Calibri" w:cs="Calibri" w:ascii="Calibri" w:hAnsi="Calibri"/>
          <w:b/>
          <w:color w:val="1F4E79"/>
          <w:sz w:val="24"/>
          <w:szCs w:val="24"/>
          <w:lang w:val="it-IT"/>
        </w:rPr>
        <w:t>MINISTERO DELLA SALUTE</w:t>
      </w:r>
    </w:p>
    <w:p>
      <w:pPr>
        <w:pStyle w:val="Normal"/>
        <w:pBdr/>
        <w:spacing w:before="0" w:after="0"/>
        <w:ind w:right="0" w:hanging="0"/>
        <w:rPr>
          <w:rFonts w:ascii="Calibri" w:hAnsi="Calibri" w:eastAsia="Calibri" w:cs="Calibri"/>
          <w:sz w:val="20"/>
          <w:szCs w:val="20"/>
          <w:lang w:val="it-IT"/>
        </w:rPr>
      </w:pPr>
      <w:r>
        <w:rPr>
          <w:rFonts w:eastAsia="Calibri" w:cs="Calibri" w:ascii="Calibri" w:hAnsi="Calibri"/>
          <w:sz w:val="20"/>
          <w:szCs w:val="20"/>
          <w:lang w:val="it-IT"/>
        </w:rPr>
        <w:t>Il Ministero della Salute è l'organo centrale del Servizio sanitario nazionale, cui sono attribuite le funzioni spettanti allo Stato in materia di tutela della salute umana, di coordinamento del Sistema sanitario nazionale, di sanità veterinaria, di tutela della salute nei luoghi di lavoro, di igiene e sicurezza degli alimenti, ferme restando le competenze esclusive delle Regioni che le esercitano tramite le aziende sanitarie locali. Rappresenta l'elemento di raccordo con l'Organizzazione mondiale della sanità - OMS, l’Organizzazione mondiale per la salute animale - WOAH, l'Agenzia europea per i medicinali – EMA e con l’Autorità europea per la sicurezza alimentare – EFSA.</w:t>
      </w:r>
    </w:p>
    <w:p>
      <w:pPr>
        <w:pStyle w:val="Normal"/>
        <w:rPr>
          <w:rFonts w:ascii="Calibri" w:hAnsi="Calibri" w:eastAsia="Calibri" w:cs="Calibri"/>
          <w:sz w:val="20"/>
          <w:szCs w:val="20"/>
          <w:lang w:val="it-IT"/>
        </w:rPr>
      </w:pPr>
      <w:r>
        <w:rPr>
          <w:rFonts w:eastAsia="Calibri" w:cs="Calibri" w:ascii="Calibri" w:hAnsi="Calibri"/>
          <w:sz w:val="20"/>
          <w:szCs w:val="20"/>
          <w:lang w:val="it-IT"/>
        </w:rPr>
      </w:r>
    </w:p>
    <w:p>
      <w:pPr>
        <w:pStyle w:val="Normal"/>
        <w:spacing w:before="0" w:after="0"/>
        <w:rPr>
          <w:rFonts w:ascii="Calibri" w:hAnsi="Calibri" w:eastAsia="Calibri" w:cs="Calibri"/>
          <w:sz w:val="20"/>
          <w:szCs w:val="20"/>
          <w:lang w:val="it-IT"/>
        </w:rPr>
      </w:pPr>
      <w:r>
        <w:rPr>
          <w:rFonts w:eastAsia="Calibri" w:cs="Calibri" w:ascii="Calibri" w:hAnsi="Calibri"/>
          <w:b/>
          <w:color w:val="1F4E79"/>
          <w:sz w:val="20"/>
          <w:szCs w:val="20"/>
          <w:lang w:val="it-IT"/>
        </w:rPr>
        <w:t>UFFICIO STAMPA MAILANDER PER EFSA</w:t>
      </w:r>
    </w:p>
    <w:p>
      <w:pPr>
        <w:pStyle w:val="Normal"/>
        <w:spacing w:before="0" w:after="0"/>
        <w:rPr>
          <w:rFonts w:ascii="Calibri" w:hAnsi="Calibri" w:eastAsia="Calibri" w:cs="Calibri"/>
          <w:sz w:val="20"/>
          <w:szCs w:val="20"/>
          <w:lang w:val="it-IT"/>
        </w:rPr>
      </w:pPr>
      <w:r>
        <w:rPr>
          <w:rFonts w:eastAsia="Calibri" w:cs="Calibri" w:ascii="Calibri" w:hAnsi="Calibri"/>
          <w:sz w:val="20"/>
          <w:szCs w:val="20"/>
          <w:lang w:val="it-IT"/>
        </w:rPr>
        <w:t>Damir Biuklic cell. 347 682 38 83</w:t>
      </w:r>
    </w:p>
    <w:p>
      <w:pPr>
        <w:pStyle w:val="Normal"/>
        <w:spacing w:before="0" w:after="0"/>
        <w:rPr>
          <w:rFonts w:ascii="Calibri" w:hAnsi="Calibri" w:eastAsia="Calibri" w:cs="Calibri"/>
          <w:sz w:val="20"/>
          <w:szCs w:val="20"/>
          <w:lang w:val="it-IT"/>
        </w:rPr>
      </w:pPr>
      <w:r>
        <w:rPr>
          <w:rFonts w:eastAsia="Calibri" w:cs="Calibri" w:ascii="Calibri" w:hAnsi="Calibri"/>
          <w:sz w:val="20"/>
          <w:szCs w:val="20"/>
          <w:lang w:val="it-IT"/>
        </w:rPr>
        <w:t>Anna Tomba cell. 346 085 0749</w:t>
      </w:r>
    </w:p>
    <w:p>
      <w:pPr>
        <w:pStyle w:val="Normal"/>
        <w:spacing w:before="0" w:after="0"/>
        <w:rPr>
          <w:rFonts w:ascii="Calibri" w:hAnsi="Calibri" w:eastAsia="Calibri" w:cs="Calibri"/>
          <w:sz w:val="20"/>
          <w:szCs w:val="20"/>
          <w:lang w:val="it-IT"/>
        </w:rPr>
      </w:pPr>
      <w:r>
        <w:rPr>
          <w:rFonts w:eastAsia="Calibri" w:cs="Calibri" w:ascii="Calibri" w:hAnsi="Calibri"/>
          <w:sz w:val="20"/>
          <w:szCs w:val="20"/>
          <w:lang w:val="it-IT"/>
        </w:rPr>
        <w:t>Fabio Dell’Olio cell. 327 831 88 29</w:t>
      </w:r>
    </w:p>
    <w:p>
      <w:pPr>
        <w:pStyle w:val="Normal"/>
        <w:spacing w:before="0" w:after="0"/>
        <w:rPr>
          <w:rFonts w:ascii="Calibri" w:hAnsi="Calibri" w:eastAsia="Calibri" w:cs="Calibri"/>
          <w:sz w:val="20"/>
          <w:szCs w:val="20"/>
          <w:lang w:val="it-IT"/>
        </w:rPr>
      </w:pPr>
      <w:r>
        <w:rPr>
          <w:rFonts w:eastAsia="Calibri" w:cs="Calibri" w:ascii="Calibri" w:hAnsi="Calibri"/>
          <w:sz w:val="20"/>
          <w:szCs w:val="20"/>
          <w:lang w:val="it-IT"/>
        </w:rPr>
        <w:t>efsa@mailander.it | tel. 011 552 7311</w:t>
      </w:r>
    </w:p>
    <w:sectPr>
      <w:headerReference w:type="default" r:id="rId3"/>
      <w:headerReference w:type="first" r:id="rId4"/>
      <w:footerReference w:type="default" r:id="rId5"/>
      <w:footerReference w:type="first" r:id="rId6"/>
      <w:footnotePr>
        <w:numFmt w:val="decimal"/>
      </w:footnotePr>
      <w:type w:val="nextPage"/>
      <w:pgSz w:w="11906" w:h="16838"/>
      <w:pgMar w:left="1701" w:right="851" w:gutter="0" w:header="686" w:top="2217" w:footer="709" w:bottom="1134"/>
      <w:pgNumType w:start="1" w:fmt="decimal"/>
      <w:formProt w:val="false"/>
      <w:titlePg/>
      <w:textDirection w:val="lrTb"/>
      <w:docGrid w:type="default" w:linePitch="100" w:charSpace="1023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before="0" w:after="0"/>
      <w:ind w:right="0" w:hanging="0"/>
      <w:jc w:val="left"/>
      <w:rPr/>
    </w:pPr>
    <w:r>
      <w:rPr/>
    </w:r>
  </w:p>
  <w:p>
    <w:pPr>
      <w:pStyle w:val="Normal"/>
      <w:pBdr/>
      <w:tabs>
        <w:tab w:val="clear" w:pos="720"/>
        <w:tab w:val="center" w:pos="4536" w:leader="none"/>
        <w:tab w:val="right" w:pos="9072" w:leader="none"/>
      </w:tabs>
      <w:spacing w:before="0" w:after="0"/>
      <w:ind w:right="0" w:hanging="0"/>
      <w:rPr/>
    </w:pPr>
    <w:r>
      <w:rPr/>
    </w:r>
  </w:p>
  <w:p>
    <w:pPr>
      <w:pStyle w:val="Normal"/>
      <w:pBdr/>
      <w:tabs>
        <w:tab w:val="clear" w:pos="720"/>
        <w:tab w:val="center" w:pos="4536" w:leader="none"/>
        <w:tab w:val="right" w:pos="9072" w:leader="none"/>
      </w:tabs>
      <w:spacing w:before="0" w:after="0"/>
      <w:ind w:right="0" w:hanging="0"/>
      <w:rPr/>
    </w:pPr>
    <w:r>
      <w:rPr/>
    </w:r>
  </w:p>
  <w:p>
    <w:pPr>
      <w:pStyle w:val="Normal"/>
      <w:pBdr/>
      <w:tabs>
        <w:tab w:val="clear" w:pos="720"/>
        <w:tab w:val="center" w:pos="4536" w:leader="none"/>
        <w:tab w:val="right" w:pos="9072" w:leader="none"/>
      </w:tabs>
      <w:spacing w:before="0" w:after="0"/>
      <w:ind w:right="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before="0" w:after="0"/>
      <w:ind w:right="0" w:hanging="0"/>
      <w:jc w:val="left"/>
      <w:rPr/>
    </w:pPr>
    <w:r>
      <w:rPr/>
    </w:r>
  </w:p>
  <w:tbl>
    <w:tblPr>
      <w:tblStyle w:val="a2"/>
      <w:tblW w:w="850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8505"/>
    </w:tblGrid>
    <w:tr>
      <w:trPr/>
      <w:tc>
        <w:tcPr>
          <w:tcW w:w="8505" w:type="dxa"/>
          <w:tcBorders>
            <w:top w:val="single" w:sz="4" w:space="0" w:color="BFBFBF"/>
          </w:tcBorders>
          <w:shd w:color="auto" w:fill="auto" w:val="clear"/>
        </w:tcPr>
        <w:p>
          <w:pPr>
            <w:pStyle w:val="Normal"/>
            <w:widowControl w:val="false"/>
            <w:pBdr/>
            <w:tabs>
              <w:tab w:val="clear" w:pos="720"/>
              <w:tab w:val="center" w:pos="4536" w:leader="none"/>
              <w:tab w:val="right" w:pos="9072" w:leader="none"/>
            </w:tabs>
            <w:spacing w:before="0" w:after="120"/>
            <w:ind w:right="0" w:hanging="0"/>
            <w:rPr/>
          </w:pPr>
          <w:r>
            <w:rPr/>
          </w:r>
        </w:p>
      </w:tc>
    </w:tr>
  </w:tbl>
  <w:p>
    <w:pPr>
      <w:pStyle w:val="Normal"/>
      <w:pBdr/>
      <w:tabs>
        <w:tab w:val="clear" w:pos="720"/>
        <w:tab w:val="center" w:pos="4536" w:leader="none"/>
        <w:tab w:val="right" w:pos="9072" w:leader="none"/>
      </w:tabs>
      <w:spacing w:before="0" w:after="0"/>
      <w:ind w:right="0" w:hanging="0"/>
      <w:rPr/>
    </w:pPr>
    <w:r>
      <w:rPr/>
    </w:r>
  </w:p>
  <w:p>
    <w:pPr>
      <w:pStyle w:val="Normal"/>
      <w:pBdr/>
      <w:tabs>
        <w:tab w:val="clear" w:pos="720"/>
        <w:tab w:val="center" w:pos="4536" w:leader="none"/>
        <w:tab w:val="right" w:pos="9072" w:leader="none"/>
      </w:tabs>
      <w:spacing w:before="0" w:after="0"/>
      <w:ind w:right="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before="0" w:after="0"/>
        <w:rPr>
          <w:rFonts w:ascii="Calibri" w:hAnsi="Calibri" w:cs="Calibri"/>
          <w:sz w:val="20"/>
          <w:szCs w:val="20"/>
          <w:lang w:val="it-IT"/>
        </w:rPr>
      </w:pPr>
      <w:r>
        <w:rPr>
          <w:rStyle w:val="Caratterinotaapidipagina"/>
        </w:rPr>
        <w:footnoteRef/>
      </w:r>
      <w:r>
        <w:rPr>
          <w:rFonts w:cs="Calibri" w:ascii="Calibri" w:hAnsi="Calibri"/>
          <w:sz w:val="20"/>
          <w:szCs w:val="20"/>
          <w:lang w:val="it-IT"/>
        </w:rPr>
        <w:t xml:space="preserve"> </w:t>
      </w:r>
      <w:r>
        <w:rPr>
          <w:rFonts w:eastAsia="Calibri" w:cs="Calibri" w:ascii="Calibri" w:hAnsi="Calibri"/>
          <w:sz w:val="20"/>
          <w:szCs w:val="20"/>
          <w:lang w:val="it-IT"/>
        </w:rPr>
        <w:t>Circolare del Ministero della Salute del 04/11/2024 0043051 DGISAN</w:t>
      </w:r>
    </w:p>
  </w:footnote>
  <w:footnote w:id="3">
    <w:p>
      <w:pPr>
        <w:pStyle w:val="Normal"/>
        <w:spacing w:before="0" w:after="0"/>
        <w:rPr>
          <w:rFonts w:ascii="Calibri" w:hAnsi="Calibri" w:cs="Calibri"/>
          <w:sz w:val="20"/>
          <w:szCs w:val="20"/>
          <w:lang w:val="it-IT"/>
        </w:rPr>
      </w:pPr>
      <w:r>
        <w:rPr>
          <w:rStyle w:val="Caratterinotaapidipagina"/>
        </w:rPr>
        <w:footnoteRef/>
      </w:r>
      <w:hyperlink r:id="rId1">
        <w:r>
          <w:rPr>
            <w:rFonts w:eastAsia="Roboto" w:cs="Calibri" w:ascii="Calibri" w:hAnsi="Calibri"/>
            <w:color w:val="0B57D0"/>
            <w:sz w:val="20"/>
            <w:szCs w:val="20"/>
            <w:highlight w:val="white"/>
            <w:lang w:val="it-IT"/>
          </w:rPr>
          <w:t>https://www.ecdc.europa.eu/sites/default/files/documents/salmonella-outbreak-sprouted-seeds-outbreak-assessment-march-2025_0.pdf</w:t>
        </w:r>
      </w:hyperlink>
    </w:p>
  </w:footnote>
  <w:footnote w:id="4">
    <w:p>
      <w:pPr>
        <w:pStyle w:val="Normal"/>
        <w:spacing w:before="0" w:after="0"/>
        <w:rPr>
          <w:rFonts w:ascii="Calibri" w:hAnsi="Calibri" w:cs="Calibri"/>
          <w:sz w:val="20"/>
          <w:szCs w:val="20"/>
          <w:lang w:val="it-IT"/>
        </w:rPr>
      </w:pPr>
      <w:r>
        <w:rPr>
          <w:rStyle w:val="Caratterinotaapidipagina"/>
        </w:rPr>
        <w:footnoteRef/>
      </w:r>
      <w:hyperlink r:id="rId2">
        <w:r>
          <w:rPr>
            <w:rFonts w:eastAsia="Roboto" w:cs="Calibri" w:ascii="Calibri" w:hAnsi="Calibri"/>
            <w:color w:val="0B57D0"/>
            <w:sz w:val="20"/>
            <w:szCs w:val="20"/>
            <w:lang w:val="it-IT"/>
          </w:rPr>
          <w:t>https://www.ecdc.europa.eu/sites/default/files/documents/salmonella-strathcona-ST2559-tomatoes-rapid-outbreak-assessment-november-2024.pdf</w:t>
        </w:r>
      </w:hyperlink>
    </w:p>
  </w:footnote>
  <w:footnote w:id="5">
    <w:p>
      <w:pPr>
        <w:pStyle w:val="Normal"/>
        <w:spacing w:before="0" w:after="0"/>
        <w:rPr>
          <w:rFonts w:ascii="Calibri" w:hAnsi="Calibri" w:cs="Calibri"/>
          <w:sz w:val="20"/>
          <w:szCs w:val="20"/>
          <w:lang w:val="it-IT"/>
        </w:rPr>
      </w:pPr>
      <w:r>
        <w:rPr>
          <w:rStyle w:val="Caratterinotaapidipagina"/>
        </w:rPr>
        <w:footnoteRef/>
      </w:r>
      <w:r>
        <w:rPr>
          <w:rFonts w:cs="Calibri" w:ascii="Calibri" w:hAnsi="Calibri"/>
          <w:sz w:val="20"/>
          <w:szCs w:val="20"/>
          <w:lang w:val="it-IT"/>
        </w:rPr>
        <w:t xml:space="preserve"> </w:t>
      </w:r>
      <w:hyperlink r:id="rId3">
        <w:r>
          <w:rPr>
            <w:rFonts w:eastAsia="Roboto" w:cs="Calibri" w:ascii="Calibri" w:hAnsi="Calibri"/>
            <w:color w:val="0B57D0"/>
            <w:sz w:val="20"/>
            <w:szCs w:val="20"/>
            <w:u w:val="single"/>
            <w:lang w:val="it-IT"/>
          </w:rPr>
          <w:t>https://www.eurosurveillance.org/content/10.2807/1560-7917.ES.2024.29.46.2400728</w:t>
        </w:r>
      </w:hyperlink>
    </w:p>
  </w:footnote>
  <w:footnote w:id="6">
    <w:p>
      <w:pPr>
        <w:pStyle w:val="Normal"/>
        <w:spacing w:before="0" w:after="0"/>
        <w:rPr>
          <w:sz w:val="20"/>
          <w:szCs w:val="20"/>
          <w:lang w:val="it-IT"/>
        </w:rPr>
      </w:pPr>
      <w:r>
        <w:rPr>
          <w:rStyle w:val="Caratterinotaapidipagina"/>
        </w:rPr>
        <w:footnoteRef/>
      </w:r>
      <w:r>
        <w:rPr>
          <w:rFonts w:cs="Calibri" w:ascii="Calibri" w:hAnsi="Calibri"/>
          <w:sz w:val="20"/>
          <w:szCs w:val="20"/>
          <w:lang w:val="it-IT"/>
        </w:rPr>
        <w:t>https://www.iss.it/cnr-b-botulismo-alimentare#:~:text=Il%20botulismo%20alimentare%20%C3%A8%20un,alla%20morte%20per%20paralisi%20respiratoria.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before="0" w:after="0"/>
      <w:ind w:right="0" w:hanging="0"/>
      <w:jc w:val="right"/>
      <w:rPr/>
    </w:pPr>
    <w:r>
      <w:rPr/>
      <mc:AlternateContent>
        <mc:Choice Requires="wps">
          <w:drawing>
            <wp:anchor behindDoc="1" distT="0" distB="0" distL="0" distR="0" simplePos="0" locked="0" layoutInCell="0" allowOverlap="1" relativeHeight="8" wp14:anchorId="477A538A">
              <wp:simplePos x="0" y="0"/>
              <wp:positionH relativeFrom="column">
                <wp:posOffset>-1092200</wp:posOffset>
              </wp:positionH>
              <wp:positionV relativeFrom="paragraph">
                <wp:posOffset>-431800</wp:posOffset>
              </wp:positionV>
              <wp:extent cx="7596505" cy="1254760"/>
              <wp:effectExtent l="0" t="0" r="0" b="0"/>
              <wp:wrapNone/>
              <wp:docPr id="1" name="Rettangolo 148"/>
              <a:graphic xmlns:a="http://schemas.openxmlformats.org/drawingml/2006/main">
                <a:graphicData uri="http://schemas.microsoft.com/office/word/2010/wordprocessingShape">
                  <wps:wsp>
                    <wps:cNvSpPr/>
                    <wps:spPr>
                      <a:xfrm>
                        <a:off x="0" y="0"/>
                        <a:ext cx="7596360" cy="1254600"/>
                      </a:xfrm>
                      <a:prstGeom prst="rect">
                        <a:avLst/>
                      </a:prstGeom>
                      <a:solidFill>
                        <a:srgbClr val="787878"/>
                      </a:solidFill>
                      <a:ln w="0">
                        <a:noFill/>
                      </a:ln>
                    </wps:spPr>
                    <wps:style>
                      <a:lnRef idx="0"/>
                      <a:fillRef idx="0"/>
                      <a:effectRef idx="0"/>
                      <a:fontRef idx="minor"/>
                    </wps:style>
                    <wps:txbx>
                      <w:txbxContent>
                        <w:p>
                          <w:pPr>
                            <w:pStyle w:val="Contenutocornice"/>
                            <w:spacing w:before="0" w:after="40"/>
                            <w:ind w:right="0" w:hanging="0"/>
                            <w:rPr>
                              <w:color w:val="22294D"/>
                            </w:rPr>
                          </w:pPr>
                          <w:r>
                            <w:rPr>
                              <w:color w:val="22294D"/>
                            </w:rPr>
                          </w:r>
                        </w:p>
                        <w:p>
                          <w:pPr>
                            <w:pStyle w:val="Contenutocornice"/>
                            <w:spacing w:before="0" w:after="40"/>
                            <w:ind w:right="0" w:hanging="0"/>
                            <w:rPr>
                              <w:color w:val="22294D"/>
                            </w:rPr>
                          </w:pPr>
                          <w:r>
                            <w:rPr>
                              <w:color w:val="22294D"/>
                            </w:rPr>
                          </w:r>
                        </w:p>
                        <w:p>
                          <w:pPr>
                            <w:pStyle w:val="Contenutocornice"/>
                            <w:spacing w:before="240" w:after="0"/>
                            <w:ind w:right="0" w:hanging="0"/>
                            <w:rPr>
                              <w:color w:val="22294D"/>
                            </w:rPr>
                          </w:pPr>
                          <w:r>
                            <w:rPr>
                              <w:color w:val="22294D"/>
                            </w:rPr>
                          </w:r>
                        </w:p>
                        <w:p>
                          <w:pPr>
                            <w:pStyle w:val="Contenutocornice"/>
                            <w:spacing w:before="0" w:after="120"/>
                            <w:ind w:right="0" w:hanging="0"/>
                            <w:jc w:val="center"/>
                            <w:rPr>
                              <w:color w:val="22294D"/>
                            </w:rPr>
                          </w:pPr>
                          <w:r>
                            <w:rPr>
                              <w:color w:val="22294D"/>
                            </w:rPr>
                          </w:r>
                        </w:p>
                      </w:txbxContent>
                    </wps:txbx>
                    <wps:bodyPr anchor="ctr">
                      <a:noAutofit/>
                    </wps:bodyPr>
                  </wps:wsp>
                </a:graphicData>
              </a:graphic>
            </wp:anchor>
          </w:drawing>
        </mc:Choice>
        <mc:Fallback>
          <w:pict>
            <v:rect id="shape_0" ID="Rettangolo 148" path="m0,0l-2147483645,0l-2147483645,-2147483646l0,-2147483646xe" fillcolor="#787878" stroked="f" o:allowincell="f" style="position:absolute;margin-left:-86pt;margin-top:-34pt;width:598.1pt;height:98.75pt;mso-wrap-style:square;v-text-anchor:middle" wp14:anchorId="477A538A">
              <v:fill o:detectmouseclick="t" type="solid" color2="#878787"/>
              <v:stroke color="#3465a4" joinstyle="round" endcap="flat"/>
              <v:textbox>
                <w:txbxContent>
                  <w:p>
                    <w:pPr>
                      <w:pStyle w:val="Contenutocornice"/>
                      <w:spacing w:before="0" w:after="40"/>
                      <w:ind w:right="0" w:hanging="0"/>
                      <w:rPr>
                        <w:color w:val="22294D"/>
                      </w:rPr>
                    </w:pPr>
                    <w:r>
                      <w:rPr>
                        <w:color w:val="22294D"/>
                      </w:rPr>
                    </w:r>
                  </w:p>
                  <w:p>
                    <w:pPr>
                      <w:pStyle w:val="Contenutocornice"/>
                      <w:spacing w:before="0" w:after="40"/>
                      <w:ind w:right="0" w:hanging="0"/>
                      <w:rPr>
                        <w:color w:val="22294D"/>
                      </w:rPr>
                    </w:pPr>
                    <w:r>
                      <w:rPr>
                        <w:color w:val="22294D"/>
                      </w:rPr>
                    </w:r>
                  </w:p>
                  <w:p>
                    <w:pPr>
                      <w:pStyle w:val="Contenutocornice"/>
                      <w:spacing w:before="240" w:after="0"/>
                      <w:ind w:right="0" w:hanging="0"/>
                      <w:rPr>
                        <w:color w:val="22294D"/>
                      </w:rPr>
                    </w:pPr>
                    <w:r>
                      <w:rPr>
                        <w:color w:val="22294D"/>
                      </w:rPr>
                    </w:r>
                  </w:p>
                  <w:p>
                    <w:pPr>
                      <w:pStyle w:val="Contenutocornice"/>
                      <w:spacing w:before="0" w:after="120"/>
                      <w:ind w:right="0" w:hanging="0"/>
                      <w:jc w:val="center"/>
                      <w:rPr>
                        <w:color w:val="22294D"/>
                      </w:rPr>
                    </w:pPr>
                    <w:r>
                      <w:rPr>
                        <w:color w:val="22294D"/>
                      </w:rPr>
                    </w:r>
                  </w:p>
                </w:txbxContent>
              </v:textbox>
              <w10:wrap type="none"/>
            </v:rect>
          </w:pict>
        </mc:Fallback>
      </mc:AlternateContent>
      <mc:AlternateContent>
        <mc:Choice Requires="wps">
          <w:drawing>
            <wp:anchor behindDoc="1" distT="0" distB="0" distL="0" distR="0" simplePos="0" locked="0" layoutInCell="0" allowOverlap="1" relativeHeight="16" wp14:anchorId="4A664785">
              <wp:simplePos x="0" y="0"/>
              <wp:positionH relativeFrom="column">
                <wp:posOffset>0</wp:posOffset>
              </wp:positionH>
              <wp:positionV relativeFrom="paragraph">
                <wp:posOffset>-38100</wp:posOffset>
              </wp:positionV>
              <wp:extent cx="920750" cy="95885"/>
              <wp:effectExtent l="0" t="0" r="0" b="0"/>
              <wp:wrapNone/>
              <wp:docPr id="3" name="Rettangolo 146"/>
              <a:graphic xmlns:a="http://schemas.openxmlformats.org/drawingml/2006/main">
                <a:graphicData uri="http://schemas.microsoft.com/office/word/2010/wordprocessingShape">
                  <wps:wsp>
                    <wps:cNvSpPr/>
                    <wps:spPr>
                      <a:xfrm>
                        <a:off x="0" y="0"/>
                        <a:ext cx="920880" cy="95760"/>
                      </a:xfrm>
                      <a:prstGeom prst="rect">
                        <a:avLst/>
                      </a:prstGeom>
                      <a:solidFill>
                        <a:schemeClr val="lt1"/>
                      </a:solidFill>
                      <a:ln w="0">
                        <a:noFill/>
                      </a:ln>
                    </wps:spPr>
                    <wps:style>
                      <a:lnRef idx="0"/>
                      <a:fillRef idx="0"/>
                      <a:effectRef idx="0"/>
                      <a:fontRef idx="minor"/>
                    </wps:style>
                    <wps:txbx>
                      <w:txbxContent>
                        <w:p>
                          <w:pPr>
                            <w:pStyle w:val="Contenutocornice"/>
                            <w:spacing w:before="0" w:after="0"/>
                            <w:ind w:right="0" w:hanging="0"/>
                            <w:jc w:val="left"/>
                            <w:rPr>
                              <w:color w:val="22294D"/>
                            </w:rPr>
                          </w:pPr>
                          <w:r>
                            <w:rPr>
                              <w:color w:val="22294D"/>
                            </w:rPr>
                          </w:r>
                        </w:p>
                      </w:txbxContent>
                    </wps:txbx>
                    <wps:bodyPr tIns="182880" bIns="182880" anchor="ctr">
                      <a:noAutofit/>
                    </wps:bodyPr>
                  </wps:wsp>
                </a:graphicData>
              </a:graphic>
            </wp:anchor>
          </w:drawing>
        </mc:Choice>
        <mc:Fallback>
          <w:pict>
            <v:rect id="shape_0" ID="Rettangolo 146" path="m0,0l-2147483645,0l-2147483645,-2147483646l0,-2147483646xe" fillcolor="white" stroked="f" o:allowincell="f" style="position:absolute;margin-left:0pt;margin-top:-3pt;width:72.45pt;height:7.5pt;mso-wrap-style:none;v-text-anchor:middle" wp14:anchorId="4A664785">
              <v:fill o:detectmouseclick="t" type="solid" color2="black"/>
              <v:stroke color="#3465a4" joinstyle="round" endcap="flat"/>
              <v:textbox>
                <w:txbxContent>
                  <w:p>
                    <w:pPr>
                      <w:pStyle w:val="Contenutocornice"/>
                      <w:spacing w:before="0" w:after="0"/>
                      <w:ind w:right="0" w:hanging="0"/>
                      <w:jc w:val="left"/>
                      <w:rPr>
                        <w:color w:val="22294D"/>
                      </w:rPr>
                    </w:pPr>
                    <w:r>
                      <w:rPr>
                        <w:color w:val="22294D"/>
                      </w:rPr>
                    </w:r>
                  </w:p>
                </w:txbxContent>
              </v:textbox>
              <w10:wrap type="none"/>
            </v:rect>
          </w:pict>
        </mc:Fallback>
      </mc:AlternateContent>
      <w:drawing>
        <wp:anchor behindDoc="1" distT="0" distB="0" distL="0" distR="0" simplePos="0" locked="0" layoutInCell="0" allowOverlap="1" relativeHeight="21">
          <wp:simplePos x="0" y="0"/>
          <wp:positionH relativeFrom="column">
            <wp:posOffset>5159375</wp:posOffset>
          </wp:positionH>
          <wp:positionV relativeFrom="paragraph">
            <wp:posOffset>-193040</wp:posOffset>
          </wp:positionV>
          <wp:extent cx="775970" cy="764540"/>
          <wp:effectExtent l="0" t="0" r="0" b="0"/>
          <wp:wrapNone/>
          <wp:docPr id="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
                  <pic:cNvPicPr>
                    <a:picLocks noChangeAspect="1" noChangeArrowheads="1"/>
                  </pic:cNvPicPr>
                </pic:nvPicPr>
                <pic:blipFill>
                  <a:blip r:embed="rId1"/>
                  <a:stretch>
                    <a:fillRect/>
                  </a:stretch>
                </pic:blipFill>
                <pic:spPr bwMode="auto">
                  <a:xfrm>
                    <a:off x="0" y="0"/>
                    <a:ext cx="775970" cy="764540"/>
                  </a:xfrm>
                  <a:prstGeom prst="rect">
                    <a:avLst/>
                  </a:prstGeom>
                </pic:spPr>
              </pic:pic>
            </a:graphicData>
          </a:graphic>
        </wp:anchor>
      </w:drawing>
    </w:r>
    <w:r>
      <w:rPr/>
      <w:t xml:space="preserve"> </w:t>
    </w:r>
  </w:p>
  <w:p>
    <w:pPr>
      <w:pStyle w:val="Normal"/>
      <w:pBdr/>
      <w:spacing w:before="0" w:after="40"/>
      <w:ind w:right="0" w:hanging="0"/>
      <w:rPr>
        <w:color w:val="FFFFFF"/>
        <w:sz w:val="24"/>
        <w:szCs w:val="24"/>
      </w:rPr>
    </w:pPr>
    <w:r>
      <w:rPr>
        <w:color w:val="FFFFFF"/>
        <w:sz w:val="24"/>
        <w:szCs w:val="24"/>
      </w:rPr>
      <w:t>COMUNICATO STAMPA</w:t>
    </w:r>
  </w:p>
  <w:p>
    <w:pPr>
      <w:pStyle w:val="Normal"/>
      <w:pBdr/>
      <w:spacing w:before="0" w:after="40"/>
      <w:ind w:right="0" w:hanging="0"/>
      <w:rPr>
        <w:color w:val="FFFFFF"/>
        <w:sz w:val="24"/>
        <w:szCs w:val="24"/>
      </w:rPr>
    </w:pPr>
    <w:r>
      <w:rPr>
        <w:color w:val="FFFFFF"/>
        <w:sz w:val="24"/>
        <w:szCs w:val="24"/>
      </w:rPr>
      <w:t xml:space="preserve">SAFE2EAT </w:t>
    </w:r>
  </w:p>
  <w:p>
    <w:pPr>
      <w:pStyle w:val="Normal"/>
      <w:widowControl/>
      <w:bidi w:val="0"/>
      <w:spacing w:before="0" w:after="120"/>
      <w:ind w:right="-1" w:hanging="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before="0" w:after="0"/>
      <w:ind w:right="0" w:hanging="0"/>
      <w:rPr/>
    </w:pPr>
    <w:r>
      <w:rPr/>
      <mc:AlternateContent>
        <mc:Choice Requires="wps">
          <w:drawing>
            <wp:anchor behindDoc="1" distT="0" distB="0" distL="0" distR="0" simplePos="0" locked="0" layoutInCell="0" allowOverlap="1" relativeHeight="22" wp14:anchorId="1558B3A9">
              <wp:simplePos x="0" y="0"/>
              <wp:positionH relativeFrom="column">
                <wp:posOffset>-1079500</wp:posOffset>
              </wp:positionH>
              <wp:positionV relativeFrom="paragraph">
                <wp:posOffset>-444500</wp:posOffset>
              </wp:positionV>
              <wp:extent cx="7577455" cy="1998980"/>
              <wp:effectExtent l="0" t="0" r="0" b="0"/>
              <wp:wrapNone/>
              <wp:docPr id="6" name="Rettangolo 149"/>
              <a:graphic xmlns:a="http://schemas.openxmlformats.org/drawingml/2006/main">
                <a:graphicData uri="http://schemas.microsoft.com/office/word/2010/wordprocessingShape">
                  <wps:wsp>
                    <wps:cNvSpPr/>
                    <wps:spPr>
                      <a:xfrm>
                        <a:off x="0" y="0"/>
                        <a:ext cx="7577280" cy="1999080"/>
                      </a:xfrm>
                      <a:prstGeom prst="rect">
                        <a:avLst/>
                      </a:prstGeom>
                      <a:solidFill>
                        <a:srgbClr val="787878"/>
                      </a:solidFill>
                      <a:ln w="0">
                        <a:noFill/>
                      </a:ln>
                    </wps:spPr>
                    <wps:style>
                      <a:lnRef idx="0"/>
                      <a:fillRef idx="0"/>
                      <a:effectRef idx="0"/>
                      <a:fontRef idx="minor"/>
                    </wps:style>
                    <wps:txbx>
                      <w:txbxContent>
                        <w:p>
                          <w:pPr>
                            <w:pStyle w:val="Contenutocornice"/>
                            <w:spacing w:before="0" w:after="0"/>
                            <w:ind w:right="0" w:hanging="0"/>
                            <w:jc w:val="left"/>
                            <w:rPr>
                              <w:color w:val="22294D"/>
                            </w:rPr>
                          </w:pPr>
                          <w:r>
                            <w:rPr>
                              <w:color w:val="22294D"/>
                            </w:rPr>
                          </w:r>
                        </w:p>
                      </w:txbxContent>
                    </wps:txbx>
                    <wps:bodyPr tIns="91440" bIns="91440" anchor="ctr">
                      <a:noAutofit/>
                    </wps:bodyPr>
                  </wps:wsp>
                </a:graphicData>
              </a:graphic>
            </wp:anchor>
          </w:drawing>
        </mc:Choice>
        <mc:Fallback>
          <w:pict>
            <v:rect id="shape_0" ID="Rettangolo 149" path="m0,0l-2147483645,0l-2147483645,-2147483646l0,-2147483646xe" fillcolor="#787878" stroked="f" o:allowincell="f" style="position:absolute;margin-left:-85pt;margin-top:-35pt;width:596.6pt;height:157.35pt;mso-wrap-style:none;v-text-anchor:middle" wp14:anchorId="1558B3A9">
              <v:fill o:detectmouseclick="t" type="solid" color2="#878787"/>
              <v:stroke color="#3465a4" joinstyle="round" endcap="flat"/>
              <v:textbox>
                <w:txbxContent>
                  <w:p>
                    <w:pPr>
                      <w:pStyle w:val="Contenutocornice"/>
                      <w:spacing w:before="0" w:after="0"/>
                      <w:ind w:right="0" w:hanging="0"/>
                      <w:jc w:val="left"/>
                      <w:rPr>
                        <w:color w:val="22294D"/>
                      </w:rPr>
                    </w:pPr>
                    <w:r>
                      <w:rPr>
                        <w:color w:val="22294D"/>
                      </w:rPr>
                    </w:r>
                  </w:p>
                </w:txbxContent>
              </v:textbox>
              <w10:wrap type="none"/>
            </v:rect>
          </w:pict>
        </mc:Fallback>
      </mc:AlternateContent>
      <mc:AlternateContent>
        <mc:Choice Requires="wps">
          <w:drawing>
            <wp:anchor behindDoc="1" distT="0" distB="0" distL="0" distR="0" simplePos="0" locked="0" layoutInCell="0" allowOverlap="1" relativeHeight="24" wp14:anchorId="6AD5DCDA">
              <wp:simplePos x="0" y="0"/>
              <wp:positionH relativeFrom="column">
                <wp:posOffset>-88900</wp:posOffset>
              </wp:positionH>
              <wp:positionV relativeFrom="paragraph">
                <wp:posOffset>-12700</wp:posOffset>
              </wp:positionV>
              <wp:extent cx="4547235" cy="1563370"/>
              <wp:effectExtent l="0" t="0" r="0" b="0"/>
              <wp:wrapNone/>
              <wp:docPr id="8" name="Rettangolo 147"/>
              <a:graphic xmlns:a="http://schemas.openxmlformats.org/drawingml/2006/main">
                <a:graphicData uri="http://schemas.microsoft.com/office/word/2010/wordprocessingShape">
                  <wps:wsp>
                    <wps:cNvSpPr/>
                    <wps:spPr>
                      <a:xfrm>
                        <a:off x="0" y="0"/>
                        <a:ext cx="4547160" cy="1563480"/>
                      </a:xfrm>
                      <a:prstGeom prst="rect">
                        <a:avLst/>
                      </a:prstGeom>
                      <a:noFill/>
                      <a:ln w="0">
                        <a:noFill/>
                      </a:ln>
                    </wps:spPr>
                    <wps:style>
                      <a:lnRef idx="0"/>
                      <a:fillRef idx="0"/>
                      <a:effectRef idx="0"/>
                      <a:fontRef idx="minor"/>
                    </wps:style>
                    <wps:txbx>
                      <w:txbxContent>
                        <w:p>
                          <w:pPr>
                            <w:pStyle w:val="Contenutocornice"/>
                            <w:spacing w:before="0" w:after="40"/>
                            <w:ind w:right="0" w:hanging="0"/>
                            <w:rPr>
                              <w:lang w:val="it-IT"/>
                            </w:rPr>
                          </w:pPr>
                          <w:r>
                            <w:rPr>
                              <w:rFonts w:eastAsia="Arial" w:cs="Arial" w:ascii="Arial" w:hAnsi="Arial"/>
                              <w:color w:val="FFFFFF"/>
                              <w:sz w:val="24"/>
                              <w:lang w:val="it-IT"/>
                            </w:rPr>
                            <w:t xml:space="preserve">COMUNICATO STAMPA </w:t>
                          </w:r>
                        </w:p>
                        <w:p>
                          <w:pPr>
                            <w:pStyle w:val="Contenutocornice"/>
                            <w:ind w:right="0" w:hanging="0"/>
                            <w:rPr>
                              <w:lang w:val="it-IT"/>
                            </w:rPr>
                          </w:pPr>
                          <w:r>
                            <w:rPr>
                              <w:color w:val="FFFFFF"/>
                              <w:sz w:val="24"/>
                              <w:lang w:val="it-IT"/>
                            </w:rPr>
                            <w:t>Per la pubblicazione immediata</w:t>
                          </w:r>
                        </w:p>
                        <w:p>
                          <w:pPr>
                            <w:pStyle w:val="Contenutocornice"/>
                            <w:ind w:right="0" w:hanging="0"/>
                            <w:rPr>
                              <w:lang w:val="it-IT"/>
                            </w:rPr>
                          </w:pPr>
                          <w:r>
                            <w:rPr>
                              <w:color w:val="22294D"/>
                              <w:lang w:val="it-IT"/>
                            </w:rPr>
                          </w:r>
                        </w:p>
                        <w:p>
                          <w:pPr>
                            <w:pStyle w:val="Contenutocornice"/>
                            <w:spacing w:before="240" w:after="0"/>
                            <w:ind w:right="0" w:hanging="0"/>
                            <w:rPr/>
                          </w:pPr>
                          <w:r>
                            <w:rPr>
                              <w:rFonts w:eastAsia="Arial" w:cs="Arial" w:ascii="Arial" w:hAnsi="Arial"/>
                              <w:color w:val="FFFFFF"/>
                              <w:sz w:val="32"/>
                            </w:rPr>
                            <w:t>SAFE2EAT</w:t>
                          </w:r>
                        </w:p>
                        <w:p>
                          <w:pPr>
                            <w:pStyle w:val="Contenutocornice"/>
                            <w:ind w:right="0" w:hanging="0"/>
                            <w:rPr>
                              <w:color w:val="22294D"/>
                            </w:rPr>
                          </w:pPr>
                          <w:r>
                            <w:rPr>
                              <w:color w:val="22294D"/>
                            </w:rPr>
                          </w:r>
                        </w:p>
                        <w:p>
                          <w:pPr>
                            <w:pStyle w:val="Contenutocornice"/>
                            <w:spacing w:before="0" w:after="120"/>
                            <w:ind w:right="0" w:hanging="0"/>
                            <w:rPr>
                              <w:color w:val="22294D"/>
                            </w:rPr>
                          </w:pPr>
                          <w:r>
                            <w:rPr>
                              <w:color w:val="22294D"/>
                            </w:rPr>
                          </w:r>
                        </w:p>
                      </w:txbxContent>
                    </wps:txbx>
                    <wps:bodyPr anchor="t">
                      <a:noAutofit/>
                    </wps:bodyPr>
                  </wps:wsp>
                </a:graphicData>
              </a:graphic>
            </wp:anchor>
          </w:drawing>
        </mc:Choice>
        <mc:Fallback>
          <w:pict>
            <v:rect id="shape_0" ID="Rettangolo 147" path="m0,0l-2147483645,0l-2147483645,-2147483646l0,-2147483646xe" stroked="f" o:allowincell="f" style="position:absolute;margin-left:-7pt;margin-top:-1pt;width:358pt;height:123.05pt;mso-wrap-style:square;v-text-anchor:top" wp14:anchorId="6AD5DCDA">
              <v:fill o:detectmouseclick="t" on="false"/>
              <v:stroke color="#3465a4" joinstyle="round" endcap="flat"/>
              <v:textbox>
                <w:txbxContent>
                  <w:p>
                    <w:pPr>
                      <w:pStyle w:val="Contenutocornice"/>
                      <w:spacing w:before="0" w:after="40"/>
                      <w:ind w:right="0" w:hanging="0"/>
                      <w:rPr>
                        <w:lang w:val="it-IT"/>
                      </w:rPr>
                    </w:pPr>
                    <w:r>
                      <w:rPr>
                        <w:rFonts w:eastAsia="Arial" w:cs="Arial" w:ascii="Arial" w:hAnsi="Arial"/>
                        <w:color w:val="FFFFFF"/>
                        <w:sz w:val="24"/>
                        <w:lang w:val="it-IT"/>
                      </w:rPr>
                      <w:t xml:space="preserve">COMUNICATO STAMPA </w:t>
                    </w:r>
                  </w:p>
                  <w:p>
                    <w:pPr>
                      <w:pStyle w:val="Contenutocornice"/>
                      <w:ind w:right="0" w:hanging="0"/>
                      <w:rPr>
                        <w:lang w:val="it-IT"/>
                      </w:rPr>
                    </w:pPr>
                    <w:r>
                      <w:rPr>
                        <w:color w:val="FFFFFF"/>
                        <w:sz w:val="24"/>
                        <w:lang w:val="it-IT"/>
                      </w:rPr>
                      <w:t>Per la pubblicazione immediata</w:t>
                    </w:r>
                  </w:p>
                  <w:p>
                    <w:pPr>
                      <w:pStyle w:val="Contenutocornice"/>
                      <w:ind w:right="0" w:hanging="0"/>
                      <w:rPr>
                        <w:lang w:val="it-IT"/>
                      </w:rPr>
                    </w:pPr>
                    <w:r>
                      <w:rPr>
                        <w:color w:val="22294D"/>
                        <w:lang w:val="it-IT"/>
                      </w:rPr>
                    </w:r>
                  </w:p>
                  <w:p>
                    <w:pPr>
                      <w:pStyle w:val="Contenutocornice"/>
                      <w:spacing w:before="240" w:after="0"/>
                      <w:ind w:right="0" w:hanging="0"/>
                      <w:rPr/>
                    </w:pPr>
                    <w:r>
                      <w:rPr>
                        <w:rFonts w:eastAsia="Arial" w:cs="Arial" w:ascii="Arial" w:hAnsi="Arial"/>
                        <w:color w:val="FFFFFF"/>
                        <w:sz w:val="32"/>
                      </w:rPr>
                      <w:t>SAFE2EAT</w:t>
                    </w:r>
                  </w:p>
                  <w:p>
                    <w:pPr>
                      <w:pStyle w:val="Contenutocornice"/>
                      <w:ind w:right="0" w:hanging="0"/>
                      <w:rPr>
                        <w:color w:val="22294D"/>
                      </w:rPr>
                    </w:pPr>
                    <w:r>
                      <w:rPr>
                        <w:color w:val="22294D"/>
                      </w:rPr>
                    </w:r>
                  </w:p>
                  <w:p>
                    <w:pPr>
                      <w:pStyle w:val="Contenutocornice"/>
                      <w:spacing w:before="0" w:after="120"/>
                      <w:ind w:right="0" w:hanging="0"/>
                      <w:rPr>
                        <w:color w:val="22294D"/>
                      </w:rPr>
                    </w:pPr>
                    <w:r>
                      <w:rPr>
                        <w:color w:val="22294D"/>
                      </w:rPr>
                    </w:r>
                  </w:p>
                </w:txbxContent>
              </v:textbox>
              <w10:wrap type="none"/>
            </v:rect>
          </w:pict>
        </mc:Fallback>
      </mc:AlternateContent>
      <w:drawing>
        <wp:anchor behindDoc="1" distT="0" distB="0" distL="0" distR="0" simplePos="0" locked="0" layoutInCell="0" allowOverlap="1" relativeHeight="26">
          <wp:simplePos x="0" y="0"/>
          <wp:positionH relativeFrom="column">
            <wp:posOffset>4954270</wp:posOffset>
          </wp:positionH>
          <wp:positionV relativeFrom="paragraph">
            <wp:posOffset>-152400</wp:posOffset>
          </wp:positionV>
          <wp:extent cx="945515" cy="1439545"/>
          <wp:effectExtent l="0" t="0" r="0" b="0"/>
          <wp:wrapNone/>
          <wp:docPr id="10"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descr=""/>
                  <pic:cNvPicPr>
                    <a:picLocks noChangeAspect="1" noChangeArrowheads="1"/>
                  </pic:cNvPicPr>
                </pic:nvPicPr>
                <pic:blipFill>
                  <a:blip r:embed="rId1"/>
                  <a:stretch>
                    <a:fillRect/>
                  </a:stretch>
                </pic:blipFill>
                <pic:spPr bwMode="auto">
                  <a:xfrm>
                    <a:off x="0" y="0"/>
                    <a:ext cx="945515" cy="1439545"/>
                  </a:xfrm>
                  <a:prstGeom prst="rect">
                    <a:avLst/>
                  </a:prstGeom>
                </pic:spPr>
              </pic:pic>
            </a:graphicData>
          </a:graphic>
        </wp:anchor>
      </w:drawing>
      <w:drawing>
        <wp:anchor behindDoc="1" distT="0" distB="0" distL="0" distR="0" simplePos="0" locked="0" layoutInCell="0" allowOverlap="1" relativeHeight="27">
          <wp:simplePos x="0" y="0"/>
          <wp:positionH relativeFrom="column">
            <wp:posOffset>-1080135</wp:posOffset>
          </wp:positionH>
          <wp:positionV relativeFrom="paragraph">
            <wp:posOffset>-226695</wp:posOffset>
          </wp:positionV>
          <wp:extent cx="773430" cy="1547495"/>
          <wp:effectExtent l="0" t="0" r="0" b="0"/>
          <wp:wrapNone/>
          <wp:docPr id="1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
                  <pic:cNvPicPr>
                    <a:picLocks noChangeAspect="1" noChangeArrowheads="1"/>
                  </pic:cNvPicPr>
                </pic:nvPicPr>
                <pic:blipFill>
                  <a:blip r:embed="rId2"/>
                  <a:stretch>
                    <a:fillRect/>
                  </a:stretch>
                </pic:blipFill>
                <pic:spPr bwMode="auto">
                  <a:xfrm>
                    <a:off x="0" y="0"/>
                    <a:ext cx="773430" cy="1547495"/>
                  </a:xfrm>
                  <a:prstGeom prst="rect">
                    <a:avLst/>
                  </a:prstGeom>
                </pic:spPr>
              </pic:pic>
            </a:graphicData>
          </a:graphic>
        </wp:anchor>
      </w:drawing>
    </w:r>
  </w:p>
  <w:p>
    <w:pPr>
      <w:pStyle w:val="Normal"/>
      <w:pBdr/>
      <w:tabs>
        <w:tab w:val="clear" w:pos="720"/>
        <w:tab w:val="center" w:pos="4536" w:leader="none"/>
        <w:tab w:val="right" w:pos="9072" w:leader="none"/>
      </w:tabs>
      <w:spacing w:before="0" w:after="0"/>
      <w:ind w:right="0" w:hanging="0"/>
      <w:rPr/>
    </w:pPr>
    <w:r>
      <w:rPr/>
      <mc:AlternateContent>
        <mc:Choice Requires="wps">
          <w:drawing>
            <wp:anchor behindDoc="1" distT="0" distB="0" distL="0" distR="0" simplePos="0" locked="0" layoutInCell="0" allowOverlap="1" relativeHeight="28" wp14:anchorId="47E0AA4E">
              <wp:simplePos x="0" y="0"/>
              <wp:positionH relativeFrom="column">
                <wp:posOffset>0</wp:posOffset>
              </wp:positionH>
              <wp:positionV relativeFrom="paragraph">
                <wp:posOffset>355600</wp:posOffset>
              </wp:positionV>
              <wp:extent cx="902335" cy="90805"/>
              <wp:effectExtent l="0" t="0" r="0" b="0"/>
              <wp:wrapNone/>
              <wp:docPr id="12" name="Rettangolo 145"/>
              <a:graphic xmlns:a="http://schemas.openxmlformats.org/drawingml/2006/main">
                <a:graphicData uri="http://schemas.microsoft.com/office/word/2010/wordprocessingShape">
                  <wps:wsp>
                    <wps:cNvSpPr/>
                    <wps:spPr>
                      <a:xfrm>
                        <a:off x="0" y="0"/>
                        <a:ext cx="902160" cy="90720"/>
                      </a:xfrm>
                      <a:prstGeom prst="rect">
                        <a:avLst/>
                      </a:prstGeom>
                      <a:solidFill>
                        <a:schemeClr val="lt1"/>
                      </a:solidFill>
                      <a:ln w="0">
                        <a:noFill/>
                      </a:ln>
                    </wps:spPr>
                    <wps:style>
                      <a:lnRef idx="0"/>
                      <a:fillRef idx="0"/>
                      <a:effectRef idx="0"/>
                      <a:fontRef idx="minor"/>
                    </wps:style>
                    <wps:txbx>
                      <w:txbxContent>
                        <w:p>
                          <w:pPr>
                            <w:pStyle w:val="Contenutocornice"/>
                            <w:spacing w:before="0" w:after="0"/>
                            <w:ind w:right="0" w:hanging="0"/>
                            <w:jc w:val="left"/>
                            <w:rPr>
                              <w:color w:val="22294D"/>
                            </w:rPr>
                          </w:pPr>
                          <w:r>
                            <w:rPr>
                              <w:color w:val="22294D"/>
                            </w:rPr>
                          </w:r>
                        </w:p>
                      </w:txbxContent>
                    </wps:txbx>
                    <wps:bodyPr tIns="182880" bIns="182880" anchor="ctr">
                      <a:noAutofit/>
                    </wps:bodyPr>
                  </wps:wsp>
                </a:graphicData>
              </a:graphic>
            </wp:anchor>
          </w:drawing>
        </mc:Choice>
        <mc:Fallback>
          <w:pict>
            <v:rect id="shape_0" ID="Rettangolo 145" path="m0,0l-2147483645,0l-2147483645,-2147483646l0,-2147483646xe" fillcolor="white" stroked="f" o:allowincell="f" style="position:absolute;margin-left:0pt;margin-top:28pt;width:71pt;height:7.1pt;mso-wrap-style:none;v-text-anchor:middle" wp14:anchorId="47E0AA4E">
              <v:fill o:detectmouseclick="t" type="solid" color2="black"/>
              <v:stroke color="#3465a4" joinstyle="round" endcap="flat"/>
              <v:textbox>
                <w:txbxContent>
                  <w:p>
                    <w:pPr>
                      <w:pStyle w:val="Contenutocornice"/>
                      <w:spacing w:before="0" w:after="0"/>
                      <w:ind w:right="0" w:hanging="0"/>
                      <w:jc w:val="left"/>
                      <w:rPr>
                        <w:color w:val="22294D"/>
                      </w:rPr>
                    </w:pPr>
                    <w:r>
                      <w:rPr>
                        <w:color w:val="22294D"/>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5">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6">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color w:val="22294D"/>
        <w:sz w:val="19"/>
        <w:szCs w:val="19"/>
        <w:lang w:val="en-US"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widowControl/>
      <w:bidi w:val="0"/>
      <w:spacing w:before="0" w:after="120"/>
      <w:ind w:right="-1" w:hanging="0"/>
      <w:jc w:val="both"/>
    </w:pPr>
    <w:rPr>
      <w:rFonts w:ascii="Verdana" w:hAnsi="Verdana" w:eastAsia="Verdana" w:cs="Verdana"/>
      <w:color w:val="22294D"/>
      <w:kern w:val="0"/>
      <w:sz w:val="19"/>
      <w:szCs w:val="19"/>
      <w:lang w:val="en-US" w:eastAsia="it-IT" w:bidi="ar-SA"/>
    </w:rPr>
  </w:style>
  <w:style w:type="paragraph" w:styleId="Titolo1">
    <w:name w:val="Heading 1"/>
    <w:basedOn w:val="Normal"/>
    <w:next w:val="Normal"/>
    <w:link w:val="Titolo1Carattere"/>
    <w:uiPriority w:val="9"/>
    <w:qFormat/>
    <w:rsid w:val="00120cdf"/>
    <w:pPr>
      <w:spacing w:before="0" w:after="0"/>
      <w:ind w:right="0" w:hanging="0"/>
      <w:outlineLvl w:val="0"/>
    </w:pPr>
    <w:rPr/>
  </w:style>
  <w:style w:type="paragraph" w:styleId="Titolo2">
    <w:name w:val="Heading 2"/>
    <w:basedOn w:val="Normal"/>
    <w:next w:val="Normal"/>
    <w:link w:val="Titolo2Carattere"/>
    <w:uiPriority w:val="9"/>
    <w:unhideWhenUsed/>
    <w:qFormat/>
    <w:rsid w:val="00120cdf"/>
    <w:pPr>
      <w:spacing w:before="0" w:after="360"/>
      <w:ind w:right="0" w:hanging="0"/>
      <w:jc w:val="right"/>
      <w:outlineLvl w:val="1"/>
    </w:pPr>
    <w:rPr>
      <w:b/>
      <w:bCs/>
      <w:sz w:val="36"/>
      <w:szCs w:val="36"/>
    </w:rPr>
  </w:style>
  <w:style w:type="paragraph" w:styleId="Titolo3">
    <w:name w:val="Heading 3"/>
    <w:basedOn w:val="Normal"/>
    <w:next w:val="Normal"/>
    <w:link w:val="Titolo3Carattere"/>
    <w:uiPriority w:val="9"/>
    <w:unhideWhenUsed/>
    <w:qFormat/>
    <w:rsid w:val="0059261d"/>
    <w:pPr>
      <w:spacing w:before="240" w:after="0"/>
      <w:ind w:right="0" w:hanging="0"/>
      <w:outlineLvl w:val="2"/>
    </w:pPr>
    <w:rPr>
      <w:color w:val="FFFFFF" w:themeColor="background1"/>
      <w:sz w:val="32"/>
      <w:szCs w:val="32"/>
    </w:rPr>
  </w:style>
  <w:style w:type="paragraph" w:styleId="Titolo4">
    <w:name w:val="Heading 4"/>
    <w:basedOn w:val="Normal"/>
    <w:next w:val="Normal"/>
    <w:link w:val="Titolo4Carattere"/>
    <w:uiPriority w:val="9"/>
    <w:unhideWhenUsed/>
    <w:qFormat/>
    <w:rsid w:val="0059261d"/>
    <w:pPr>
      <w:spacing w:before="0" w:after="40"/>
      <w:outlineLvl w:val="3"/>
    </w:pPr>
    <w:rPr>
      <w:color w:val="FFFFFF" w:themeColor="background1"/>
      <w:sz w:val="24"/>
      <w:szCs w:val="36"/>
    </w:rPr>
  </w:style>
  <w:style w:type="paragraph" w:styleId="Titolo5">
    <w:name w:val="Heading 5"/>
    <w:basedOn w:val="Titolo1"/>
    <w:next w:val="Normal"/>
    <w:link w:val="Titolo5Carattere"/>
    <w:uiPriority w:val="9"/>
    <w:unhideWhenUsed/>
    <w:qFormat/>
    <w:rsid w:val="00120cdf"/>
    <w:pPr>
      <w:spacing w:before="0" w:after="120"/>
      <w:jc w:val="right"/>
      <w:outlineLvl w:val="4"/>
    </w:pPr>
    <w:rPr>
      <w:sz w:val="28"/>
      <w:szCs w:val="28"/>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stparalevel2Char" w:customStyle="1">
    <w:name w:val="List para level 2 Char"/>
    <w:basedOn w:val="ParagrafoelencoCarattere"/>
    <w:link w:val="Listparalevel2"/>
    <w:qFormat/>
    <w:rsid w:val="00a11232"/>
    <w:rPr>
      <w:color w:val="787878"/>
      <w:sz w:val="19"/>
      <w:lang w:val="fr-FR"/>
    </w:rPr>
  </w:style>
  <w:style w:type="character" w:styleId="Listparalevel3Char" w:customStyle="1">
    <w:name w:val="List para level 3 Char"/>
    <w:basedOn w:val="Listparalevel2Char"/>
    <w:link w:val="Listparalevel3"/>
    <w:qFormat/>
    <w:rsid w:val="00a11232"/>
    <w:rPr>
      <w:color w:val="787878"/>
      <w:sz w:val="19"/>
      <w:lang w:val="fr-FR"/>
    </w:rPr>
  </w:style>
  <w:style w:type="character" w:styleId="Titolo1Carattere" w:customStyle="1">
    <w:name w:val="Titolo 1 Carattere"/>
    <w:basedOn w:val="DefaultParagraphFont"/>
    <w:uiPriority w:val="9"/>
    <w:qFormat/>
    <w:rsid w:val="00120cdf"/>
    <w:rPr>
      <w:color w:val="22294D"/>
      <w:sz w:val="19"/>
      <w:lang w:val="en-US"/>
    </w:rPr>
  </w:style>
  <w:style w:type="character" w:styleId="Titolo2Carattere" w:customStyle="1">
    <w:name w:val="Titolo 2 Carattere"/>
    <w:basedOn w:val="DefaultParagraphFont"/>
    <w:uiPriority w:val="9"/>
    <w:qFormat/>
    <w:rsid w:val="00120cdf"/>
    <w:rPr>
      <w:b/>
      <w:bCs/>
      <w:color w:val="22294D"/>
      <w:sz w:val="36"/>
      <w:szCs w:val="36"/>
      <w:lang w:val="en-US"/>
    </w:rPr>
  </w:style>
  <w:style w:type="character" w:styleId="Titolo3Carattere" w:customStyle="1">
    <w:name w:val="Titolo 3 Carattere"/>
    <w:basedOn w:val="DefaultParagraphFont"/>
    <w:uiPriority w:val="9"/>
    <w:qFormat/>
    <w:rsid w:val="0059261d"/>
    <w:rPr>
      <w:color w:val="FFFFFF" w:themeColor="background1"/>
      <w:sz w:val="32"/>
      <w:szCs w:val="32"/>
      <w:lang w:val="en-US"/>
    </w:rPr>
  </w:style>
  <w:style w:type="character" w:styleId="Titolo4Carattere" w:customStyle="1">
    <w:name w:val="Titolo 4 Carattere"/>
    <w:basedOn w:val="DefaultParagraphFont"/>
    <w:uiPriority w:val="9"/>
    <w:qFormat/>
    <w:rsid w:val="0059261d"/>
    <w:rPr>
      <w:color w:val="FFFFFF" w:themeColor="background1"/>
      <w:sz w:val="24"/>
      <w:szCs w:val="36"/>
      <w:lang w:val="en-US"/>
    </w:rPr>
  </w:style>
  <w:style w:type="character" w:styleId="Titolo5Carattere" w:customStyle="1">
    <w:name w:val="Titolo 5 Carattere"/>
    <w:basedOn w:val="DefaultParagraphFont"/>
    <w:uiPriority w:val="9"/>
    <w:qFormat/>
    <w:rsid w:val="00120cdf"/>
    <w:rPr>
      <w:color w:val="22294D"/>
      <w:sz w:val="28"/>
      <w:szCs w:val="28"/>
      <w:lang w:val="en-US"/>
    </w:rPr>
  </w:style>
  <w:style w:type="character" w:styleId="TitoloCarattere" w:customStyle="1">
    <w:name w:val="Titolo Carattere"/>
    <w:basedOn w:val="DefaultParagraphFont"/>
    <w:uiPriority w:val="10"/>
    <w:qFormat/>
    <w:rsid w:val="00ea7e45"/>
    <w:rPr>
      <w:i/>
      <w:color w:val="22294D"/>
      <w:sz w:val="19"/>
      <w:lang w:val="en-US"/>
    </w:rPr>
  </w:style>
  <w:style w:type="character" w:styleId="ParagrafoelencoCarattere" w:customStyle="1">
    <w:name w:val="Paragrafo elenco Carattere"/>
    <w:basedOn w:val="DefaultParagraphFont"/>
    <w:link w:val="ListParagraph"/>
    <w:uiPriority w:val="34"/>
    <w:qFormat/>
    <w:rsid w:val="00a11232"/>
    <w:rPr>
      <w:color w:val="787878"/>
      <w:sz w:val="19"/>
      <w:lang w:val="fr-FR"/>
    </w:rPr>
  </w:style>
  <w:style w:type="character" w:styleId="IntestazioneCarattere" w:customStyle="1">
    <w:name w:val="Intestazione Carattere"/>
    <w:basedOn w:val="DefaultParagraphFont"/>
    <w:uiPriority w:val="99"/>
    <w:qFormat/>
    <w:rsid w:val="005b3b3e"/>
    <w:rPr>
      <w:color w:val="787878"/>
      <w:sz w:val="19"/>
      <w:lang w:val="nl-NL"/>
    </w:rPr>
  </w:style>
  <w:style w:type="character" w:styleId="PidipaginaCarattere" w:customStyle="1">
    <w:name w:val="Piè di pagina Carattere"/>
    <w:basedOn w:val="DefaultParagraphFont"/>
    <w:uiPriority w:val="99"/>
    <w:qFormat/>
    <w:rsid w:val="005b3b3e"/>
    <w:rPr>
      <w:color w:val="787878"/>
      <w:sz w:val="19"/>
      <w:lang w:val="nl-NL"/>
    </w:rPr>
  </w:style>
  <w:style w:type="character" w:styleId="PlaceholderText">
    <w:name w:val="Placeholder Text"/>
    <w:basedOn w:val="DefaultParagraphFont"/>
    <w:uiPriority w:val="99"/>
    <w:semiHidden/>
    <w:qFormat/>
    <w:rsid w:val="0059261d"/>
    <w:rPr>
      <w:color w:val="808080"/>
    </w:rPr>
  </w:style>
  <w:style w:type="character" w:styleId="CollegamentoInternet">
    <w:name w:val="Hyperlink"/>
    <w:basedOn w:val="DefaultParagraphFont"/>
    <w:uiPriority w:val="99"/>
    <w:unhideWhenUsed/>
    <w:rsid w:val="0059261d"/>
    <w:rPr>
      <w:color w:val="0563C1" w:themeColor="hyperlink"/>
      <w:u w:val="single"/>
    </w:rPr>
  </w:style>
  <w:style w:type="character" w:styleId="Eop" w:customStyle="1">
    <w:name w:val="eop"/>
    <w:basedOn w:val="DefaultParagraphFont"/>
    <w:qFormat/>
    <w:rsid w:val="00506395"/>
    <w:rPr/>
  </w:style>
  <w:style w:type="character" w:styleId="Normaltextrun" w:customStyle="1">
    <w:name w:val="normaltextrun"/>
    <w:basedOn w:val="DefaultParagraphFont"/>
    <w:qFormat/>
    <w:rsid w:val="00506395"/>
    <w:rPr/>
  </w:style>
  <w:style w:type="character" w:styleId="Tabchar" w:customStyle="1">
    <w:name w:val="tabchar"/>
    <w:basedOn w:val="DefaultParagraphFont"/>
    <w:qFormat/>
    <w:rsid w:val="00506395"/>
    <w:rPr/>
  </w:style>
  <w:style w:type="character" w:styleId="Menzionenonrisolta1" w:customStyle="1">
    <w:name w:val="Menzione non risolta1"/>
    <w:basedOn w:val="DefaultParagraphFont"/>
    <w:uiPriority w:val="99"/>
    <w:semiHidden/>
    <w:unhideWhenUsed/>
    <w:qFormat/>
    <w:rsid w:val="00bc5cd7"/>
    <w:rPr>
      <w:color w:val="605E5C"/>
      <w:shd w:fill="E1DFDD" w:val="clear"/>
    </w:rPr>
  </w:style>
  <w:style w:type="character" w:styleId="Annotationreference">
    <w:name w:val="annotation reference"/>
    <w:basedOn w:val="DefaultParagraphFont"/>
    <w:uiPriority w:val="99"/>
    <w:semiHidden/>
    <w:unhideWhenUsed/>
    <w:qFormat/>
    <w:rsid w:val="004d13eb"/>
    <w:rPr>
      <w:sz w:val="16"/>
      <w:szCs w:val="16"/>
    </w:rPr>
  </w:style>
  <w:style w:type="character" w:styleId="TestocommentoCarattere" w:customStyle="1">
    <w:name w:val="Testo commento Carattere"/>
    <w:basedOn w:val="DefaultParagraphFont"/>
    <w:link w:val="Annotationtext"/>
    <w:uiPriority w:val="99"/>
    <w:qFormat/>
    <w:rsid w:val="004d13eb"/>
    <w:rPr>
      <w:color w:val="22294D"/>
      <w:sz w:val="20"/>
      <w:szCs w:val="20"/>
      <w:lang w:val="en-US"/>
    </w:rPr>
  </w:style>
  <w:style w:type="character" w:styleId="SoggettocommentoCarattere" w:customStyle="1">
    <w:name w:val="Soggetto commento Carattere"/>
    <w:basedOn w:val="TestocommentoCarattere"/>
    <w:link w:val="Annotationsubject"/>
    <w:uiPriority w:val="99"/>
    <w:semiHidden/>
    <w:qFormat/>
    <w:rsid w:val="004d13eb"/>
    <w:rPr>
      <w:b/>
      <w:bCs/>
      <w:color w:val="22294D"/>
      <w:sz w:val="20"/>
      <w:szCs w:val="20"/>
      <w:lang w:val="en-US"/>
    </w:rPr>
  </w:style>
  <w:style w:type="character" w:styleId="TestofumettoCarattere" w:customStyle="1">
    <w:name w:val="Testo fumetto Carattere"/>
    <w:basedOn w:val="DefaultParagraphFont"/>
    <w:link w:val="BalloonText"/>
    <w:uiPriority w:val="99"/>
    <w:semiHidden/>
    <w:qFormat/>
    <w:rsid w:val="00322ada"/>
    <w:rPr>
      <w:rFonts w:ascii="Segoe UI" w:hAnsi="Segoe UI" w:cs="Segoe UI"/>
      <w:sz w:val="18"/>
      <w:szCs w:val="18"/>
    </w:rPr>
  </w:style>
  <w:style w:type="character" w:styleId="Menzionenonrisolta2" w:customStyle="1">
    <w:name w:val="Menzione non risolta2"/>
    <w:basedOn w:val="DefaultParagraphFont"/>
    <w:uiPriority w:val="99"/>
    <w:semiHidden/>
    <w:unhideWhenUsed/>
    <w:qFormat/>
    <w:rsid w:val="009157a4"/>
    <w:rPr>
      <w:color w:val="605E5C"/>
      <w:shd w:fill="E1DFDD" w:val="clear"/>
    </w:rPr>
  </w:style>
  <w:style w:type="character" w:styleId="Caratterinotaapidipagina">
    <w:name w:val="Caratteri nota a piè di pagina"/>
    <w:qFormat/>
    <w:rPr/>
  </w:style>
  <w:style w:type="character" w:styleId="Richiamoallanotaapidipagina">
    <w:name w:val="Footnote Reference"/>
    <w:rPr>
      <w:vertAlign w:val="superscript"/>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Titolo2"/>
    <w:next w:val="Normal"/>
    <w:link w:val="TitoloCarattere"/>
    <w:uiPriority w:val="10"/>
    <w:qFormat/>
    <w:rsid w:val="00ea7e45"/>
    <w:pPr/>
    <w:rPr>
      <w:b w:val="false"/>
      <w:bCs w:val="false"/>
      <w:i/>
    </w:rPr>
  </w:style>
  <w:style w:type="paragraph" w:styleId="Listparalevel2" w:customStyle="1">
    <w:name w:val="List para level 2"/>
    <w:basedOn w:val="ListParagraph"/>
    <w:link w:val="Listparalevel2Char"/>
    <w:qFormat/>
    <w:rsid w:val="00a11232"/>
    <w:pPr>
      <w:numPr>
        <w:ilvl w:val="1"/>
        <w:numId w:val="5"/>
      </w:numPr>
    </w:pPr>
    <w:rPr/>
  </w:style>
  <w:style w:type="paragraph" w:styleId="ListParagraph">
    <w:name w:val="List Paragraph"/>
    <w:basedOn w:val="Normal"/>
    <w:link w:val="ParagrafoelencoCarattere"/>
    <w:uiPriority w:val="34"/>
    <w:qFormat/>
    <w:rsid w:val="00a11232"/>
    <w:pPr>
      <w:spacing w:before="0" w:after="0"/>
      <w:contextualSpacing/>
    </w:pPr>
    <w:rPr>
      <w:lang w:val="fr-FR"/>
    </w:rPr>
  </w:style>
  <w:style w:type="paragraph" w:styleId="Listparalevel3" w:customStyle="1">
    <w:name w:val="List para level 3"/>
    <w:basedOn w:val="Listparalevel2"/>
    <w:link w:val="Listparalevel3Char"/>
    <w:qFormat/>
    <w:rsid w:val="00a11232"/>
    <w:pPr/>
    <w:rPr/>
  </w:style>
  <w:style w:type="paragraph" w:styleId="Listnumgreen" w:customStyle="1">
    <w:name w:val="list num green"/>
    <w:basedOn w:val="ListParagraph"/>
    <w:qFormat/>
    <w:rsid w:val="00a11232"/>
    <w:pPr>
      <w:numPr>
        <w:ilvl w:val="0"/>
        <w:numId w:val="6"/>
      </w:numPr>
    </w:pPr>
    <w:rPr/>
  </w:style>
  <w:style w:type="paragraph" w:styleId="Contact" w:customStyle="1">
    <w:name w:val="Contact"/>
    <w:basedOn w:val="Normal"/>
    <w:qFormat/>
    <w:rsid w:val="00a11232"/>
    <w:pPr>
      <w:spacing w:before="0" w:after="0"/>
      <w:ind w:right="-425" w:hanging="0"/>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5b3b3e"/>
    <w:pPr>
      <w:tabs>
        <w:tab w:val="clear" w:pos="720"/>
        <w:tab w:val="center" w:pos="4536" w:leader="none"/>
        <w:tab w:val="right" w:pos="9072" w:leader="none"/>
      </w:tabs>
      <w:spacing w:before="0" w:after="0"/>
    </w:pPr>
    <w:rPr/>
  </w:style>
  <w:style w:type="paragraph" w:styleId="Pidipagina">
    <w:name w:val="Footer"/>
    <w:basedOn w:val="Normal"/>
    <w:link w:val="PidipaginaCarattere"/>
    <w:uiPriority w:val="99"/>
    <w:unhideWhenUsed/>
    <w:rsid w:val="005b3b3e"/>
    <w:pPr>
      <w:tabs>
        <w:tab w:val="clear" w:pos="720"/>
        <w:tab w:val="center" w:pos="4536" w:leader="none"/>
        <w:tab w:val="right" w:pos="9072" w:leader="none"/>
      </w:tabs>
      <w:spacing w:before="0" w:after="0"/>
    </w:pPr>
    <w:rPr/>
  </w:style>
  <w:style w:type="paragraph" w:styleId="Paragraph" w:customStyle="1">
    <w:name w:val="paragraph"/>
    <w:basedOn w:val="Normal"/>
    <w:qFormat/>
    <w:rsid w:val="00506395"/>
    <w:pPr>
      <w:spacing w:beforeAutospacing="1" w:afterAutospacing="1"/>
      <w:ind w:right="0" w:hanging="0"/>
      <w:jc w:val="left"/>
    </w:pPr>
    <w:rPr>
      <w:rFonts w:ascii="Times New Roman" w:hAnsi="Times New Roman" w:eastAsia="Times New Roman" w:cs="Times New Roman"/>
      <w:color w:val="auto"/>
      <w:sz w:val="24"/>
      <w:szCs w:val="24"/>
      <w:lang w:val="en-GB" w:eastAsia="en-GB"/>
    </w:rPr>
  </w:style>
  <w:style w:type="paragraph" w:styleId="Revision">
    <w:name w:val="Revision"/>
    <w:uiPriority w:val="99"/>
    <w:semiHidden/>
    <w:qFormat/>
    <w:rsid w:val="00bf76da"/>
    <w:pPr>
      <w:widowControl/>
      <w:bidi w:val="0"/>
      <w:spacing w:before="0" w:after="0"/>
      <w:jc w:val="both"/>
    </w:pPr>
    <w:rPr>
      <w:rFonts w:ascii="Verdana" w:hAnsi="Verdana" w:eastAsia="Verdana" w:cs="Verdana"/>
      <w:color w:val="22294D"/>
      <w:kern w:val="0"/>
      <w:sz w:val="19"/>
      <w:szCs w:val="19"/>
      <w:lang w:val="en-US" w:eastAsia="it-IT" w:bidi="ar-SA"/>
    </w:rPr>
  </w:style>
  <w:style w:type="paragraph" w:styleId="Annotationtext">
    <w:name w:val="annotation text"/>
    <w:basedOn w:val="Normal"/>
    <w:link w:val="TestocommentoCarattere"/>
    <w:uiPriority w:val="99"/>
    <w:unhideWhenUsed/>
    <w:qFormat/>
    <w:rsid w:val="004d13e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4d13eb"/>
    <w:pPr/>
    <w:rPr>
      <w:b/>
      <w:bCs/>
    </w:rPr>
  </w:style>
  <w:style w:type="paragraph" w:styleId="Sottotitolo">
    <w:name w:val="Subtitle"/>
    <w:basedOn w:val="Normal"/>
    <w:next w:val="Normal"/>
    <w:qFormat/>
    <w:pPr>
      <w:keepNext w:val="true"/>
      <w:keepLines/>
      <w:pBdr/>
      <w:spacing w:before="360" w:after="80"/>
      <w:ind w:right="0" w:hanging="0"/>
    </w:pPr>
    <w:rPr>
      <w:rFonts w:ascii="Georgia" w:hAnsi="Georgia" w:eastAsia="Georgia" w:cs="Georgia"/>
      <w:i/>
      <w:color w:val="666666"/>
      <w:sz w:val="48"/>
      <w:szCs w:val="48"/>
    </w:rPr>
  </w:style>
  <w:style w:type="paragraph" w:styleId="BalloonText">
    <w:name w:val="Balloon Text"/>
    <w:basedOn w:val="Normal"/>
    <w:link w:val="TestofumettoCarattere"/>
    <w:uiPriority w:val="99"/>
    <w:semiHidden/>
    <w:unhideWhenUsed/>
    <w:qFormat/>
    <w:rsid w:val="00322ada"/>
    <w:pPr>
      <w:spacing w:before="0" w:after="0"/>
    </w:pPr>
    <w:rPr>
      <w:rFonts w:ascii="Segoe UI" w:hAnsi="Segoe UI" w:cs="Segoe UI"/>
      <w:sz w:val="18"/>
      <w:szCs w:val="18"/>
    </w:rPr>
  </w:style>
  <w:style w:type="paragraph" w:styleId="Notaapidipagina">
    <w:name w:val="Footnote Text"/>
    <w:basedOn w:val="Normal"/>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Grigliatabella">
    <w:name w:val="Table Grid"/>
    <w:basedOn w:val="Tabellanormale"/>
    <w:uiPriority w:val="39"/>
    <w:rsid w:val="00246a6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fsa.europa.eu/it/safe2ea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ecdc.europa.eu/sites/default/files/documents/salmonella-outbreak-sprouted-seeds-outbreak-assessment-march-2025_0.pdf" TargetMode="External"/><Relationship Id="rId2" Type="http://schemas.openxmlformats.org/officeDocument/2006/relationships/hyperlink" Target="https://www.ecdc.europa.eu/sites/default/files/documents/salmonella-strathcona-ST2559-tomatoes-rapid-outbreak-assessment-november-2024.pdf" TargetMode="External"/><Relationship Id="rId3" Type="http://schemas.openxmlformats.org/officeDocument/2006/relationships/hyperlink" Target="https://www.eurosurveillance.org/content/10.2807/1560-7917.ES.2024.29.46.2400728"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3vaeX00r3VMXVJQuA/GEFBYNvKw==">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LibreOffice/7.4.2.3$Windows_X86_64 LibreOffice_project/382eef1f22670f7f4118c8c2dd222ec7ad009daf</Application>
  <AppVersion>15.0000</AppVersion>
  <Pages>3</Pages>
  <Words>1514</Words>
  <Characters>9378</Characters>
  <CharactersWithSpaces>10853</CharactersWithSpaces>
  <Paragraphs>62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2025-04-10T07:12:00Z</dcterms:created>
  <dc:creator>GARCIA GOMEZ Matilde</dc:creator>
  <dc:description/>
  <dc:language>it-IT</dc:language>
  <cp:lastModifiedBy>utente</cp:lastModifiedBy>
  <dcterms:modified xsi:type="dcterms:W3CDTF">2025-04-10T09:13:00Z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0x010100F8FC9C5E6EA9FC4BAC7A8512F6603D45</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0</vt:bool>
  </property>
</Properties>
</file>